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ook w:val="01E0" w:firstRow="1" w:lastRow="1" w:firstColumn="1" w:lastColumn="1" w:noHBand="0" w:noVBand="0"/>
      </w:tblPr>
      <w:tblGrid>
        <w:gridCol w:w="3402"/>
        <w:gridCol w:w="5812"/>
      </w:tblGrid>
      <w:tr>
        <w:trPr>
          <w:trHeight w:val="1135"/>
        </w:trPr>
        <w:tc>
          <w:tcPr>
            <w:tcW w:w="3402" w:type="dxa"/>
          </w:tcPr>
          <w:p>
            <w:pPr>
              <w:ind w:firstLine="34"/>
              <w:jc w:val="center"/>
              <w:rPr>
                <w:rFonts w:ascii="Times New Roman" w:hAnsi="Times New Roman"/>
                <w:b/>
                <w:sz w:val="26"/>
                <w:szCs w:val="26"/>
              </w:rPr>
            </w:pPr>
            <w:r>
              <w:rPr>
                <w:rFonts w:ascii="Times New Roman" w:hAnsi="Times New Roman"/>
                <w:b/>
                <w:sz w:val="26"/>
                <w:szCs w:val="26"/>
              </w:rPr>
              <w:t xml:space="preserve">ỦY BAN NHÂN DÂN </w:t>
            </w:r>
            <w:r>
              <w:rPr>
                <w:rFonts w:ascii="Times New Roman" w:hAnsi="Times New Roman"/>
                <w:b/>
                <w:sz w:val="26"/>
                <w:szCs w:val="26"/>
              </w:rPr>
              <w:br/>
              <w:t>TỈNH HÀ TĨNH</w:t>
            </w:r>
          </w:p>
          <w:p>
            <w:pPr>
              <w:ind w:firstLine="34"/>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2848" behindDoc="0" locked="0" layoutInCell="1" allowOverlap="1">
                      <wp:simplePos x="0" y="0"/>
                      <wp:positionH relativeFrom="column">
                        <wp:posOffset>718185</wp:posOffset>
                      </wp:positionH>
                      <wp:positionV relativeFrom="paragraph">
                        <wp:posOffset>33655</wp:posOffset>
                      </wp:positionV>
                      <wp:extent cx="5619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561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78B8CF1" id="Straight Connector 3"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5pt,2.65pt" to="100.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" strokecolor="black [3040]"/>
                  </w:pict>
                </mc:Fallback>
              </mc:AlternateContent>
            </w:r>
          </w:p>
          <w:p>
            <w:pPr>
              <w:spacing w:before="240"/>
              <w:jc w:val="center"/>
              <w:rPr>
                <w:rFonts w:ascii="Times New Roman" w:hAnsi="Times New Roman"/>
              </w:rPr>
            </w:pPr>
            <w:r>
              <w:rPr>
                <w:rFonts w:ascii="Times New Roman" w:hAnsi="Times New Roman"/>
                <w:sz w:val="26"/>
                <w:szCs w:val="26"/>
              </w:rPr>
              <w:t>Số:           /BC-UBND</w:t>
            </w:r>
          </w:p>
        </w:tc>
        <w:tc>
          <w:tcPr>
            <w:tcW w:w="5812" w:type="dxa"/>
          </w:tcPr>
          <w:p>
            <w:pPr>
              <w:jc w:val="center"/>
              <w:rPr>
                <w:rFonts w:ascii="Times New Roman" w:hAnsi="Times New Roman"/>
                <w:b/>
                <w:sz w:val="26"/>
                <w:szCs w:val="26"/>
              </w:rPr>
            </w:pPr>
            <w:r>
              <w:rPr>
                <w:rFonts w:ascii="Times New Roman" w:hAnsi="Times New Roman"/>
                <w:b/>
                <w:sz w:val="26"/>
                <w:szCs w:val="26"/>
              </w:rPr>
              <w:t>CỘNG HÒA XÃ HỘI CHỦ NGHĨA VIỆT NAM</w:t>
            </w:r>
          </w:p>
          <w:p>
            <w:pPr>
              <w:ind w:firstLine="34"/>
              <w:jc w:val="center"/>
              <w:rPr>
                <w:rFonts w:ascii="Times New Roman" w:hAnsi="Times New Roman"/>
                <w:b/>
              </w:rPr>
            </w:pPr>
            <w:r>
              <w:rPr>
                <w:rFonts w:ascii="Times New Roman" w:hAnsi="Times New Roman"/>
                <w:b/>
              </w:rPr>
              <w:t>Độc lập - Tự do - Hạnh phúc</w:t>
            </w:r>
          </w:p>
          <w:p>
            <w:pPr>
              <w:tabs>
                <w:tab w:val="left" w:pos="3030"/>
                <w:tab w:val="center" w:pos="3152"/>
              </w:tabs>
              <w:rPr>
                <w:rFonts w:ascii="Times New Roman" w:hAnsi="Times New Roman"/>
                <w:sz w:val="12"/>
              </w:rPr>
            </w:pPr>
            <w:r>
              <w:rPr>
                <w:rFonts w:ascii="Times New Roman" w:hAnsi="Times New Roman"/>
                <w:noProof/>
              </w:rPr>
              <mc:AlternateContent>
                <mc:Choice Requires="wps">
                  <w:drawing>
                    <wp:anchor distT="4294967295" distB="4294967295" distL="114300" distR="114300" simplePos="0" relativeHeight="251659776" behindDoc="0" locked="0" layoutInCell="1" allowOverlap="1">
                      <wp:simplePos x="0" y="0"/>
                      <wp:positionH relativeFrom="column">
                        <wp:posOffset>733425</wp:posOffset>
                      </wp:positionH>
                      <wp:positionV relativeFrom="paragraph">
                        <wp:posOffset>28575</wp:posOffset>
                      </wp:positionV>
                      <wp:extent cx="20764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6338776" id="Straight Connector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5pt,2.25pt" to="221.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" strokecolor="black [3040]">
                      <o:lock v:ext="edit" shapetype="f"/>
                    </v:line>
                  </w:pict>
                </mc:Fallback>
              </mc:AlternateContent>
            </w:r>
            <w:r>
              <w:rPr>
                <w:rFonts w:ascii="Times New Roman" w:hAnsi="Times New Roman"/>
              </w:rPr>
              <w:tab/>
            </w:r>
          </w:p>
          <w:p>
            <w:pPr>
              <w:spacing w:before="360"/>
              <w:jc w:val="center"/>
              <w:rPr>
                <w:rFonts w:ascii="Times New Roman" w:hAnsi="Times New Roman"/>
                <w:i/>
              </w:rPr>
            </w:pPr>
            <w:r>
              <w:rPr>
                <w:rFonts w:ascii="Times New Roman" w:hAnsi="Times New Roman"/>
                <w:i/>
              </w:rPr>
              <w:t xml:space="preserve">Hà Tĩnh, ngày   </w:t>
            </w:r>
            <w:r>
              <w:rPr>
                <w:rFonts w:ascii="Times New Roman" w:hAnsi="Times New Roman"/>
                <w:i/>
                <w:lang w:val="vi-VN"/>
              </w:rPr>
              <w:t xml:space="preserve"> </w:t>
            </w:r>
            <w:r>
              <w:rPr>
                <w:rFonts w:ascii="Times New Roman" w:hAnsi="Times New Roman"/>
                <w:i/>
              </w:rPr>
              <w:t xml:space="preserve">  </w:t>
            </w:r>
            <w:bookmarkStart w:id="0" w:name="_GoBack"/>
            <w:bookmarkEnd w:id="0"/>
            <w:r>
              <w:rPr>
                <w:rFonts w:ascii="Times New Roman" w:hAnsi="Times New Roman"/>
                <w:i/>
              </w:rPr>
              <w:t xml:space="preserve"> tháng       năm 20</w:t>
            </w:r>
            <w:r>
              <w:rPr>
                <w:rFonts w:ascii="Times New Roman" w:hAnsi="Times New Roman"/>
                <w:i/>
                <w:lang w:val="vi-VN"/>
              </w:rPr>
              <w:t>2</w:t>
            </w:r>
            <w:r>
              <w:rPr>
                <w:rFonts w:ascii="Times New Roman" w:hAnsi="Times New Roman"/>
                <w:i/>
              </w:rPr>
              <w:t>5</w:t>
            </w:r>
          </w:p>
        </w:tc>
      </w:tr>
    </w:tbl>
    <w:p>
      <w:pPr>
        <w:jc w:val="center"/>
        <w:rPr>
          <w:rFonts w:ascii="Times New Roman" w:hAnsi="Times New Roman"/>
          <w:b/>
          <w:szCs w:val="26"/>
        </w:rPr>
      </w:pPr>
    </w:p>
    <w:p>
      <w:pPr>
        <w:rPr>
          <w:rFonts w:ascii="Times New Roman" w:hAnsi="Times New Roman"/>
          <w:b/>
          <w:szCs w:val="26"/>
        </w:rPr>
      </w:pPr>
    </w:p>
    <w:p>
      <w:pPr>
        <w:spacing w:before="120"/>
        <w:jc w:val="center"/>
        <w:rPr>
          <w:rFonts w:ascii="Times New Roman" w:hAnsi="Times New Roman"/>
          <w:b/>
          <w:szCs w:val="26"/>
        </w:rPr>
      </w:pPr>
      <w:r>
        <w:rPr>
          <w:rFonts w:ascii="Times New Roman" w:hAnsi="Times New Roman"/>
          <w:b/>
          <w:szCs w:val="26"/>
        </w:rPr>
        <w:t>BÁO CÁO</w:t>
      </w:r>
    </w:p>
    <w:p>
      <w:pPr>
        <w:jc w:val="center"/>
        <w:rPr>
          <w:rFonts w:ascii="Times New Roman" w:hAnsi="Times New Roman"/>
          <w:b/>
        </w:rPr>
      </w:pPr>
      <w:r>
        <w:rPr>
          <w:rFonts w:ascii="Times New Roman" w:hAnsi="Times New Roman"/>
          <w:b/>
        </w:rPr>
        <w:t>Tình hình, kết quả công tác phòng, chống tội phạm và vi phạm pháp luật</w:t>
      </w:r>
    </w:p>
    <w:p>
      <w:pPr>
        <w:jc w:val="center"/>
        <w:rPr>
          <w:rFonts w:ascii="Times New Roman" w:hAnsi="Times New Roman"/>
          <w:b/>
        </w:rPr>
      </w:pPr>
      <w:r>
        <w:rPr>
          <w:rFonts w:ascii="Times New Roman" w:hAnsi="Times New Roman"/>
          <w:b/>
        </w:rPr>
        <w:t xml:space="preserve">06 tháng đầu năm; nhiệm vụ, giải pháp </w:t>
      </w:r>
      <w:r>
        <w:rPr>
          <w:rFonts w:ascii="Times New Roman" w:hAnsi="Times New Roman"/>
          <w:b/>
          <w:lang w:val="vi-VN"/>
        </w:rPr>
        <w:t>những</w:t>
      </w:r>
      <w:r>
        <w:rPr>
          <w:rFonts w:ascii="Times New Roman" w:hAnsi="Times New Roman"/>
          <w:b/>
        </w:rPr>
        <w:t xml:space="preserve"> tháng cuối năm 2025</w:t>
      </w:r>
    </w:p>
    <w:p>
      <w:pPr>
        <w:widowControl w:val="0"/>
        <w:jc w:val="center"/>
        <w:rPr>
          <w:rFonts w:ascii="Times New Roman" w:hAnsi="Times New Roman"/>
          <w:i/>
        </w:rPr>
      </w:pPr>
      <w:r>
        <w:rPr>
          <w:rFonts w:ascii="Times New Roman" w:hAnsi="Times New Roman"/>
          <w:i/>
        </w:rPr>
        <w:t xml:space="preserve">(Báo cáo tại </w:t>
      </w:r>
      <w:r>
        <w:rPr>
          <w:rFonts w:ascii="Times New Roman" w:hAnsi="Times New Roman"/>
          <w:i/>
          <w:lang w:val="vi-VN"/>
        </w:rPr>
        <w:t xml:space="preserve">Kỳ họp </w:t>
      </w:r>
      <w:r>
        <w:rPr>
          <w:rFonts w:ascii="Times New Roman" w:hAnsi="Times New Roman"/>
          <w:i/>
        </w:rPr>
        <w:t xml:space="preserve">giữa năm 2025, </w:t>
      </w:r>
      <w:r>
        <w:rPr>
          <w:rFonts w:ascii="Times New Roman" w:hAnsi="Times New Roman"/>
          <w:i/>
          <w:lang w:val="vi-VN"/>
        </w:rPr>
        <w:t>HĐND tỉnh khóa XVIII</w:t>
      </w:r>
      <w:r>
        <w:rPr>
          <w:rFonts w:ascii="Times New Roman" w:hAnsi="Times New Roman"/>
          <w:i/>
        </w:rPr>
        <w:t>)</w:t>
      </w:r>
    </w:p>
    <w:p>
      <w:pPr>
        <w:tabs>
          <w:tab w:val="center" w:pos="4593"/>
        </w:tabs>
        <w:rPr>
          <w:rFonts w:ascii="Times New Roman" w:hAnsi="Times New Roman"/>
          <w:sz w:val="30"/>
        </w:rPr>
      </w:pPr>
      <w:r>
        <w:rPr>
          <w:rFonts w:ascii="Times New Roman" w:hAnsi="Times New Roman"/>
          <w:noProof/>
          <w:sz w:val="20"/>
        </w:rPr>
        <mc:AlternateContent>
          <mc:Choice Requires="wps">
            <w:drawing>
              <wp:anchor distT="4294967295" distB="4294967295" distL="114300" distR="114300" simplePos="0" relativeHeight="251663872" behindDoc="0" locked="0" layoutInCell="1" allowOverlap="1">
                <wp:simplePos x="0" y="0"/>
                <wp:positionH relativeFrom="column">
                  <wp:posOffset>2209165</wp:posOffset>
                </wp:positionH>
                <wp:positionV relativeFrom="paragraph">
                  <wp:posOffset>50165</wp:posOffset>
                </wp:positionV>
                <wp:extent cx="13296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96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4FED686" id="Straight Connector 4"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95pt,3.95pt" to="278.6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" strokecolor="black [3040]">
                <o:lock v:ext="edit" shapetype="f"/>
              </v:line>
            </w:pict>
          </mc:Fallback>
        </mc:AlternateContent>
      </w:r>
      <w:r>
        <w:rPr>
          <w:rFonts w:ascii="Times New Roman" w:hAnsi="Times New Roman"/>
          <w:sz w:val="42"/>
        </w:rPr>
        <w:tab/>
      </w:r>
    </w:p>
    <w:p>
      <w:pPr>
        <w:widowControl w:val="0"/>
        <w:spacing w:before="240"/>
        <w:ind w:firstLine="709"/>
        <w:jc w:val="both"/>
        <w:rPr>
          <w:rFonts w:ascii="Times New Roman" w:hAnsi="Times New Roman"/>
        </w:rPr>
      </w:pPr>
      <w:r>
        <w:rPr>
          <w:rFonts w:ascii="Times New Roman" w:hAnsi="Times New Roman"/>
        </w:rPr>
        <w:t>Thực hiện Kế hoạch số 208/KH-HĐND ngày 20/5/2025 của HĐND tỉnh về chuẩn bị nội dung Kỳ họp thường lệ giữa năm 2025 của HĐND tỉnh; xét đề nghị của Công an tỉnh tại Văn bản số 1861/CAT-PV01 ngày 06/6/2025; trên cơ sở biểu quyết thống nhất của các thành viên UBND tỉnh (biểu quyết bằng phiếu), UBND tỉnh báo cáo kết quả công tác phòng, chống tội phạm và vi phạm pháp luật 06 tháng</w:t>
      </w:r>
      <w:r>
        <w:rPr>
          <w:rFonts w:ascii="Times New Roman" w:hAnsi="Times New Roman"/>
          <w:lang w:val="vi-VN"/>
        </w:rPr>
        <w:t xml:space="preserve"> đầu năm</w:t>
      </w:r>
      <w:r>
        <w:rPr>
          <w:rFonts w:ascii="Times New Roman" w:hAnsi="Times New Roman"/>
        </w:rPr>
        <w:t xml:space="preserve">; </w:t>
      </w:r>
      <w:r>
        <w:rPr>
          <w:rFonts w:ascii="Times New Roman" w:hAnsi="Times New Roman"/>
          <w:lang w:val="de-DE"/>
        </w:rPr>
        <w:t xml:space="preserve">nhiệm vụ, giải pháp </w:t>
      </w:r>
      <w:r>
        <w:rPr>
          <w:rFonts w:ascii="Times New Roman" w:hAnsi="Times New Roman"/>
          <w:lang w:val="vi-VN"/>
        </w:rPr>
        <w:t>những</w:t>
      </w:r>
      <w:r>
        <w:rPr>
          <w:rFonts w:ascii="Times New Roman" w:hAnsi="Times New Roman"/>
          <w:lang w:val="de-DE"/>
        </w:rPr>
        <w:t xml:space="preserve"> tháng cuối năm 202</w:t>
      </w:r>
      <w:r>
        <w:rPr>
          <w:rFonts w:ascii="Times New Roman" w:hAnsi="Times New Roman"/>
        </w:rPr>
        <w:t>5, như sau:</w:t>
      </w:r>
    </w:p>
    <w:p>
      <w:pPr>
        <w:widowControl w:val="0"/>
        <w:spacing w:before="100"/>
        <w:ind w:firstLine="709"/>
        <w:jc w:val="both"/>
        <w:rPr>
          <w:rFonts w:ascii="Times New Roman" w:hAnsi="Times New Roman"/>
          <w:b/>
          <w:sz w:val="26"/>
        </w:rPr>
      </w:pPr>
      <w:r>
        <w:rPr>
          <w:rFonts w:ascii="Times New Roman" w:hAnsi="Times New Roman"/>
          <w:b/>
          <w:sz w:val="26"/>
        </w:rPr>
        <w:t xml:space="preserve">I. TÌNH HÌNH TỘI PHẠM VÀ VI PHẠM PHÁP LUẬT </w:t>
      </w:r>
    </w:p>
    <w:p>
      <w:pPr>
        <w:widowControl w:val="0"/>
        <w:spacing w:before="100"/>
        <w:ind w:firstLine="709"/>
        <w:jc w:val="both"/>
        <w:rPr>
          <w:rFonts w:ascii="Times New Roman" w:hAnsi="Times New Roman"/>
          <w:b/>
          <w:lang w:val="de-DE"/>
        </w:rPr>
      </w:pPr>
      <w:r>
        <w:rPr>
          <w:rFonts w:ascii="Times New Roman" w:hAnsi="Times New Roman"/>
          <w:b/>
          <w:lang w:val="de-DE"/>
        </w:rPr>
        <w:t>1. Trên lĩnh vực an ninh quốc gia</w:t>
      </w:r>
    </w:p>
    <w:p>
      <w:pPr>
        <w:widowControl w:val="0"/>
        <w:spacing w:before="100"/>
        <w:ind w:firstLine="709"/>
        <w:jc w:val="both"/>
        <w:rPr>
          <w:rFonts w:ascii="Times New Roman" w:hAnsi="Times New Roman"/>
          <w:lang w:val="de-DE"/>
        </w:rPr>
      </w:pPr>
      <w:r>
        <w:rPr>
          <w:rFonts w:ascii="Times New Roman" w:hAnsi="Times New Roman"/>
          <w:lang w:val="de-DE"/>
        </w:rPr>
        <w:t xml:space="preserve">Nhìn chung ổn định, không xảy ra các vụ việc đột xuất, bất ngờ, phát sinh “điểm nóng” về an ninh trật tự (ANTT). Tuy vậy, </w:t>
      </w:r>
      <w:r>
        <w:rPr>
          <w:rFonts w:ascii="Times New Roman" w:hAnsi="Times New Roman"/>
          <w:lang w:val="vi-VN"/>
        </w:rPr>
        <w:t>còn nổi lên một số</w:t>
      </w:r>
      <w:r>
        <w:rPr>
          <w:rFonts w:ascii="Times New Roman" w:hAnsi="Times New Roman"/>
          <w:lang w:val="de-DE"/>
        </w:rPr>
        <w:t xml:space="preserve"> vấn đề </w:t>
      </w:r>
      <w:r>
        <w:rPr>
          <w:rFonts w:ascii="Times New Roman" w:hAnsi="Times New Roman"/>
          <w:lang w:val="vi-VN"/>
        </w:rPr>
        <w:t>sau</w:t>
      </w:r>
      <w:r>
        <w:rPr>
          <w:rFonts w:ascii="Times New Roman" w:hAnsi="Times New Roman"/>
          <w:lang w:val="de-DE"/>
        </w:rPr>
        <w:t>:</w:t>
      </w:r>
    </w:p>
    <w:p>
      <w:pPr>
        <w:widowControl w:val="0"/>
        <w:tabs>
          <w:tab w:val="left" w:pos="709"/>
        </w:tabs>
        <w:spacing w:before="100"/>
        <w:ind w:firstLine="720"/>
        <w:jc w:val="both"/>
        <w:rPr>
          <w:rFonts w:ascii="Times New Roman" w:hAnsi="Times New Roman"/>
          <w:lang w:val="pl-PL"/>
        </w:rPr>
      </w:pPr>
      <w:r>
        <w:rPr>
          <w:rFonts w:ascii="Times New Roman" w:hAnsi="Times New Roman"/>
          <w:b/>
          <w:i/>
          <w:lang w:val="de-DE"/>
        </w:rPr>
        <w:t xml:space="preserve">- </w:t>
      </w:r>
      <w:r>
        <w:rPr>
          <w:rFonts w:ascii="Times New Roman" w:hAnsi="Times New Roman"/>
          <w:lang w:val="de-DE"/>
        </w:rPr>
        <w:t>Tình trạng vi phạm pháp luật về xuất nhập cảnh trên tuyến biên giới còn xảy ra</w:t>
      </w:r>
      <w:r>
        <w:rPr>
          <w:rFonts w:ascii="Times New Roman" w:hAnsi="Times New Roman"/>
          <w:vertAlign w:val="superscript"/>
          <w:lang w:val="nl-NL"/>
        </w:rPr>
        <w:footnoteReference w:id="1"/>
      </w:r>
      <w:r>
        <w:rPr>
          <w:rFonts w:ascii="Times New Roman" w:hAnsi="Times New Roman"/>
          <w:lang w:val="de-DE"/>
        </w:rPr>
        <w:t xml:space="preserve">. </w:t>
      </w:r>
      <w:r>
        <w:rPr>
          <w:rFonts w:ascii="Times New Roman" w:hAnsi="Times New Roman"/>
          <w:lang w:val="pl-PL"/>
        </w:rPr>
        <w:t>An ninh mạng</w:t>
      </w:r>
      <w:r>
        <w:rPr>
          <w:rFonts w:ascii="Times New Roman" w:hAnsi="Times New Roman"/>
          <w:lang w:val="de-DE"/>
        </w:rPr>
        <w:t>, an ninh thông tin, truyền thông</w:t>
      </w:r>
      <w:r>
        <w:rPr>
          <w:rFonts w:ascii="Times New Roman" w:hAnsi="Times New Roman"/>
          <w:b/>
          <w:i/>
          <w:lang w:val="de-DE"/>
        </w:rPr>
        <w:t xml:space="preserve"> </w:t>
      </w:r>
      <w:r>
        <w:rPr>
          <w:rFonts w:ascii="Times New Roman" w:hAnsi="Times New Roman"/>
          <w:lang w:val="de-DE"/>
        </w:rPr>
        <w:t>nổi lên nguy cơ mất an ninh, an toàn, rò rỉ dữ liệu tại các trang, cổng thông tin điện tử</w:t>
      </w:r>
      <w:r>
        <w:rPr>
          <w:rFonts w:ascii="Times New Roman" w:hAnsi="Times New Roman"/>
          <w:lang w:val="pl-PL"/>
        </w:rPr>
        <w:t xml:space="preserve"> </w:t>
      </w:r>
      <w:r>
        <w:rPr>
          <w:rFonts w:ascii="Times New Roman" w:hAnsi="Times New Roman"/>
          <w:lang w:val="de-DE"/>
        </w:rPr>
        <w:t xml:space="preserve">của một số cơ quan, đơn vị; tình trạng đưa tin chưa </w:t>
      </w:r>
      <w:r>
        <w:rPr>
          <w:rFonts w:ascii="Times New Roman" w:hAnsi="Times New Roman"/>
          <w:lang w:val="pl-PL"/>
        </w:rPr>
        <w:t>được kiểm chứng, sai sự thật còn xảy ra.</w:t>
      </w:r>
    </w:p>
    <w:p>
      <w:pPr>
        <w:widowControl w:val="0"/>
        <w:spacing w:before="100"/>
        <w:ind w:firstLine="709"/>
        <w:jc w:val="both"/>
        <w:rPr>
          <w:rFonts w:ascii="Times New Roman" w:hAnsi="Times New Roman"/>
          <w:lang w:val="vi-VN"/>
        </w:rPr>
      </w:pPr>
      <w:r>
        <w:rPr>
          <w:rFonts w:ascii="Times New Roman" w:hAnsi="Times New Roman"/>
          <w:lang w:val="pl-PL"/>
        </w:rPr>
        <w:t xml:space="preserve">- </w:t>
      </w:r>
      <w:r>
        <w:rPr>
          <w:rFonts w:ascii="Times New Roman" w:hAnsi="Times New Roman"/>
          <w:bCs/>
          <w:iCs/>
          <w:lang w:val="nl-NL"/>
        </w:rPr>
        <w:t xml:space="preserve">Phát sinh </w:t>
      </w:r>
      <w:r>
        <w:rPr>
          <w:rFonts w:ascii="Times New Roman" w:hAnsi="Times New Roman"/>
          <w:lang w:val="pt-BR"/>
        </w:rPr>
        <w:t>02 lượt/05 công dân khiếu kiện vượt cấp lên Trung ương</w:t>
      </w:r>
      <w:r>
        <w:rPr>
          <w:rFonts w:ascii="Times New Roman" w:hAnsi="Times New Roman"/>
          <w:bCs/>
          <w:lang w:val="pl-PL"/>
        </w:rPr>
        <w:t xml:space="preserve"> (liên quan đất đai);</w:t>
      </w:r>
      <w:r>
        <w:rPr>
          <w:rFonts w:ascii="Times New Roman" w:hAnsi="Times New Roman"/>
          <w:vertAlign w:val="superscript"/>
          <w:lang w:val="pl-PL"/>
        </w:rPr>
        <w:t xml:space="preserve"> </w:t>
      </w:r>
      <w:r>
        <w:rPr>
          <w:rFonts w:ascii="Times New Roman" w:hAnsi="Times New Roman"/>
          <w:lang w:val="pl-PL"/>
        </w:rPr>
        <w:t xml:space="preserve">một số vụ, việc tiềm ẩn phức tạp như khiếu kiện </w:t>
      </w:r>
      <w:r>
        <w:rPr>
          <w:rFonts w:ascii="Times New Roman" w:eastAsia="Calibri" w:hAnsi="Times New Roman"/>
          <w:lang w:val="pl-PL"/>
        </w:rPr>
        <w:t>công tác bồi thường, thực hiện chính sách liên quan một số dự án</w:t>
      </w:r>
      <w:r>
        <w:rPr>
          <w:rFonts w:ascii="Times New Roman" w:hAnsi="Times New Roman"/>
          <w:bCs/>
          <w:iCs/>
          <w:lang w:val="pl-PL"/>
        </w:rPr>
        <w:t xml:space="preserve">; </w:t>
      </w:r>
      <w:r>
        <w:rPr>
          <w:rFonts w:ascii="Times New Roman" w:hAnsi="Times New Roman"/>
          <w:lang w:val="pt-BR"/>
        </w:rPr>
        <w:t>tập trung đông người, cản trở giao thông để phản đối hoạt động vận chuyển vật liệu xây dựng</w:t>
      </w:r>
      <w:r>
        <w:rPr>
          <w:rFonts w:ascii="Times New Roman" w:hAnsi="Times New Roman"/>
          <w:lang w:val="pl-PL"/>
        </w:rPr>
        <w:t>.</w:t>
      </w:r>
    </w:p>
    <w:p>
      <w:pPr>
        <w:widowControl w:val="0"/>
        <w:spacing w:before="100"/>
        <w:ind w:firstLine="709"/>
        <w:jc w:val="both"/>
        <w:rPr>
          <w:rFonts w:ascii="Times New Roman" w:hAnsi="Times New Roman"/>
          <w:b/>
          <w:lang w:val="de-DE"/>
        </w:rPr>
      </w:pPr>
      <w:r>
        <w:rPr>
          <w:rFonts w:ascii="Times New Roman" w:hAnsi="Times New Roman"/>
          <w:b/>
          <w:lang w:val="de-DE"/>
        </w:rPr>
        <w:t xml:space="preserve">2. Trên lĩnh vực trật tự an toàn xã hội </w:t>
      </w:r>
    </w:p>
    <w:p>
      <w:pPr>
        <w:widowControl w:val="0"/>
        <w:spacing w:before="100"/>
        <w:ind w:firstLine="720"/>
        <w:jc w:val="both"/>
        <w:rPr>
          <w:rFonts w:ascii="Times New Roman" w:hAnsi="Times New Roman"/>
          <w:spacing w:val="-2"/>
          <w:lang w:val="de-DE"/>
        </w:rPr>
      </w:pPr>
      <w:r>
        <w:rPr>
          <w:rFonts w:ascii="Times New Roman" w:hAnsi="Times New Roman"/>
          <w:spacing w:val="-2"/>
          <w:lang w:val="de-DE"/>
        </w:rPr>
        <w:t>- Xảy ra 270 vụ</w:t>
      </w:r>
      <w:r>
        <w:rPr>
          <w:rFonts w:ascii="Times New Roman" w:hAnsi="Times New Roman"/>
          <w:spacing w:val="-2"/>
          <w:lang w:val="vi-VN"/>
        </w:rPr>
        <w:t xml:space="preserve"> phạm tội về hình sự</w:t>
      </w:r>
      <w:r>
        <w:rPr>
          <w:rFonts w:ascii="Times New Roman" w:hAnsi="Times New Roman"/>
          <w:spacing w:val="-2"/>
          <w:lang w:val="de-DE"/>
        </w:rPr>
        <w:t xml:space="preserve">, làm chết 11 người, bị thương 76 người, thiệt hại tài sản 78 tỷ đồng </w:t>
      </w:r>
      <w:r>
        <w:rPr>
          <w:rFonts w:ascii="Times New Roman" w:hAnsi="Times New Roman"/>
          <w:i/>
          <w:spacing w:val="-2"/>
          <w:lang w:val="de-DE"/>
        </w:rPr>
        <w:t>(giảm 17 vụ = 5,9% so với cùng kỳ năm 2024).</w:t>
      </w:r>
      <w:r>
        <w:rPr>
          <w:rFonts w:ascii="Times New Roman" w:hAnsi="Times New Roman"/>
          <w:spacing w:val="-2"/>
          <w:lang w:val="de-DE"/>
        </w:rPr>
        <w:t xml:space="preserve"> </w:t>
      </w:r>
      <w:r>
        <w:rPr>
          <w:rFonts w:ascii="Times New Roman" w:hAnsi="Times New Roman"/>
          <w:spacing w:val="-2"/>
          <w:lang w:val="vi-VN"/>
        </w:rPr>
        <w:t xml:space="preserve">Nổi lên là </w:t>
      </w:r>
      <w:r>
        <w:rPr>
          <w:rFonts w:ascii="Times New Roman" w:hAnsi="Times New Roman"/>
          <w:spacing w:val="-2"/>
          <w:lang w:val="de-DE"/>
        </w:rPr>
        <w:t>tội phạm lừa đảo chiếm đoạt tài sản</w:t>
      </w:r>
      <w:r>
        <w:rPr>
          <w:rFonts w:ascii="Times New Roman" w:hAnsi="Times New Roman"/>
          <w:spacing w:val="-2"/>
          <w:lang w:val="vi-VN"/>
        </w:rPr>
        <w:t xml:space="preserve"> </w:t>
      </w:r>
      <w:r>
        <w:rPr>
          <w:rFonts w:ascii="Times New Roman" w:hAnsi="Times New Roman"/>
          <w:spacing w:val="-2"/>
          <w:lang w:val="de-DE"/>
        </w:rPr>
        <w:t>trên không gian mạng với thủ đoạn ngày càng đ</w:t>
      </w:r>
      <w:r>
        <w:rPr>
          <w:rFonts w:ascii="Times New Roman" w:hAnsi="Times New Roman"/>
          <w:spacing w:val="-2"/>
          <w:lang w:val="vi-VN"/>
        </w:rPr>
        <w:t xml:space="preserve">a dạng, </w:t>
      </w:r>
      <w:r>
        <w:rPr>
          <w:rFonts w:ascii="Times New Roman" w:hAnsi="Times New Roman"/>
          <w:spacing w:val="-2"/>
          <w:lang w:val="de-DE"/>
        </w:rPr>
        <w:t>tinh vi, gây thiệt hại lớn về tài sản; tội phạm trộm cắp tài sản,</w:t>
      </w:r>
      <w:r>
        <w:rPr>
          <w:rFonts w:ascii="Times New Roman" w:hAnsi="Times New Roman"/>
          <w:spacing w:val="-2"/>
          <w:lang w:val="vi-VN"/>
        </w:rPr>
        <w:t xml:space="preserve"> cố ý gây thương tích</w:t>
      </w:r>
      <w:r>
        <w:rPr>
          <w:rFonts w:ascii="Times New Roman" w:hAnsi="Times New Roman"/>
          <w:spacing w:val="-2"/>
          <w:lang w:val="de-DE"/>
        </w:rPr>
        <w:t xml:space="preserve"> chiếm tỷ lệ cao trong cơ cấu tội phạm hình sự; tội phạm, vi phạm pháp luật liên quan đến lứa tuổi thanh thiếu niên tiềm ẩn phức tạp.</w:t>
      </w:r>
    </w:p>
    <w:p>
      <w:pPr>
        <w:widowControl w:val="0"/>
        <w:spacing w:before="100"/>
        <w:ind w:firstLine="709"/>
        <w:jc w:val="both"/>
        <w:rPr>
          <w:rFonts w:ascii="Times New Roman" w:hAnsi="Times New Roman"/>
          <w:lang w:val="de-DE"/>
        </w:rPr>
      </w:pPr>
      <w:r>
        <w:rPr>
          <w:rFonts w:ascii="Times New Roman" w:hAnsi="Times New Roman"/>
          <w:lang w:val="de-DE"/>
        </w:rPr>
        <w:t xml:space="preserve">- Tội phạm về ma túy </w:t>
      </w:r>
      <w:r>
        <w:rPr>
          <w:rFonts w:ascii="Times New Roman" w:hAnsi="Times New Roman"/>
          <w:lang w:val="vi-VN"/>
        </w:rPr>
        <w:t>vẫn</w:t>
      </w:r>
      <w:r>
        <w:rPr>
          <w:rFonts w:ascii="Times New Roman" w:hAnsi="Times New Roman"/>
          <w:lang w:val="de-DE"/>
        </w:rPr>
        <w:t xml:space="preserve"> tiềm ẩn phức tạp</w:t>
      </w:r>
      <w:r>
        <w:rPr>
          <w:rFonts w:ascii="Times New Roman" w:hAnsi="Times New Roman"/>
          <w:lang w:val="vi-VN"/>
        </w:rPr>
        <w:t xml:space="preserve"> trên các tuyến, địa bàn trọng điểm, nhất là trên tuyến biên giới Việt - Lào; trong nội địa, chủ yếu diễn ra các hoạt động mua bán, tàng trữ trái phép chất ma túy với số lượng nhỏ</w:t>
      </w:r>
      <w:r>
        <w:rPr>
          <w:rFonts w:ascii="Times New Roman" w:hAnsi="Times New Roman"/>
          <w:lang w:val="de-DE"/>
        </w:rPr>
        <w:t>.</w:t>
      </w:r>
    </w:p>
    <w:p>
      <w:pPr>
        <w:widowControl w:val="0"/>
        <w:spacing w:before="100"/>
        <w:ind w:firstLine="709"/>
        <w:jc w:val="both"/>
        <w:rPr>
          <w:rFonts w:ascii="Times New Roman" w:hAnsi="Times New Roman"/>
          <w:lang w:val="de-DE"/>
        </w:rPr>
      </w:pPr>
      <w:r>
        <w:rPr>
          <w:rFonts w:ascii="Times New Roman" w:hAnsi="Times New Roman"/>
          <w:lang w:val="de-DE"/>
        </w:rPr>
        <w:lastRenderedPageBreak/>
        <w:t>- Tội phạm và vi phạm trên lĩnh vực kinh tế, tham nhũng</w:t>
      </w:r>
      <w:r>
        <w:rPr>
          <w:rFonts w:ascii="Times New Roman" w:hAnsi="Times New Roman"/>
          <w:lang w:val="vi-VN"/>
        </w:rPr>
        <w:t xml:space="preserve">, </w:t>
      </w:r>
      <w:r>
        <w:rPr>
          <w:rFonts w:ascii="Times New Roman" w:hAnsi="Times New Roman"/>
          <w:lang w:val="de-DE"/>
        </w:rPr>
        <w:t>chức vụ</w:t>
      </w:r>
      <w:r>
        <w:rPr>
          <w:rFonts w:ascii="Times New Roman" w:hAnsi="Times New Roman"/>
          <w:lang w:val="vi-VN"/>
        </w:rPr>
        <w:t>, môi trường</w:t>
      </w:r>
      <w:r>
        <w:rPr>
          <w:rFonts w:ascii="Times New Roman" w:hAnsi="Times New Roman"/>
          <w:lang w:val="de-DE"/>
        </w:rPr>
        <w:t xml:space="preserve"> </w:t>
      </w:r>
      <w:r>
        <w:rPr>
          <w:rFonts w:ascii="Times New Roman" w:hAnsi="Times New Roman"/>
          <w:lang w:val="eu-ES"/>
        </w:rPr>
        <w:t>đáng chú ý là các hành vi buôn lậu, vận chuyển trái phép hàng hóa, tiền tệ qua biên giới, tàng trữ, mua bán hàng cấm (pháo); làm giả, sử dụng tài liệu giả của cơ quan, tổ chức, khai thác, mua bán, vận chuyển khoáng sản trái phép, vi phạm quy định về môi trường, vệ sinh an toàn thực phẩm...</w:t>
      </w:r>
    </w:p>
    <w:p>
      <w:pPr>
        <w:widowControl w:val="0"/>
        <w:spacing w:before="100"/>
        <w:jc w:val="both"/>
        <w:rPr>
          <w:rFonts w:ascii="Times New Roman" w:hAnsi="Times New Roman"/>
          <w:lang w:val="de-DE"/>
        </w:rPr>
      </w:pPr>
      <w:r>
        <w:rPr>
          <w:rFonts w:ascii="Times New Roman" w:hAnsi="Times New Roman"/>
          <w:i/>
          <w:iCs/>
          <w:lang w:val="de-DE"/>
        </w:rPr>
        <w:tab/>
      </w:r>
      <w:r>
        <w:rPr>
          <w:rFonts w:ascii="Times New Roman" w:hAnsi="Times New Roman"/>
          <w:iCs/>
          <w:lang w:val="de-DE"/>
        </w:rPr>
        <w:t>- Tai nạn giao thông: trong 06 tháng đầu năm 2025 x</w:t>
      </w:r>
      <w:r>
        <w:rPr>
          <w:rFonts w:ascii="Times New Roman" w:hAnsi="Times New Roman"/>
          <w:lang w:val="de-DE"/>
        </w:rPr>
        <w:t xml:space="preserve">ảy </w:t>
      </w:r>
      <w:r>
        <w:rPr>
          <w:rFonts w:ascii="Times New Roman" w:eastAsia="Calibri" w:hAnsi="Times New Roman"/>
          <w:spacing w:val="-4"/>
          <w:lang w:val="de-DE"/>
        </w:rPr>
        <w:t>ra 178 vụ</w:t>
      </w:r>
      <w:r>
        <w:rPr>
          <w:rFonts w:ascii="Times New Roman" w:eastAsia="Calibri" w:hAnsi="Times New Roman"/>
          <w:spacing w:val="-4"/>
          <w:lang w:val="vi-VN"/>
        </w:rPr>
        <w:t xml:space="preserve"> </w:t>
      </w:r>
      <w:r>
        <w:rPr>
          <w:rFonts w:ascii="Times New Roman" w:eastAsia="Calibri" w:hAnsi="Times New Roman"/>
          <w:spacing w:val="-4"/>
        </w:rPr>
        <w:t>tai nạn giao thông</w:t>
      </w:r>
      <w:r>
        <w:rPr>
          <w:rFonts w:ascii="Times New Roman" w:eastAsia="Calibri" w:hAnsi="Times New Roman"/>
          <w:spacing w:val="-4"/>
          <w:lang w:val="vi-VN"/>
        </w:rPr>
        <w:t xml:space="preserve"> đường bộ</w:t>
      </w:r>
      <w:r>
        <w:rPr>
          <w:rFonts w:ascii="Times New Roman" w:eastAsia="Calibri" w:hAnsi="Times New Roman"/>
          <w:spacing w:val="-4"/>
          <w:lang w:val="de-DE"/>
        </w:rPr>
        <w:t xml:space="preserve">, làm chết 120 người, bị thương 92 người </w:t>
      </w:r>
      <w:r>
        <w:rPr>
          <w:rFonts w:ascii="Times New Roman" w:eastAsia="Calibri" w:hAnsi="Times New Roman"/>
          <w:i/>
          <w:spacing w:val="-4"/>
          <w:lang w:val="de-DE"/>
        </w:rPr>
        <w:t>(giảm 52 vụ = 22,6%; tăng 07 người chết = 6,2%, giảm 64 người bị thương = 41,03%</w:t>
      </w:r>
      <w:r>
        <w:rPr>
          <w:rFonts w:ascii="Times New Roman" w:eastAsia="Calibri" w:hAnsi="Times New Roman"/>
          <w:b/>
          <w:i/>
          <w:spacing w:val="-4"/>
          <w:lang w:val="de-DE"/>
        </w:rPr>
        <w:t xml:space="preserve"> </w:t>
      </w:r>
      <w:r>
        <w:rPr>
          <w:rFonts w:ascii="Times New Roman" w:eastAsia="Calibri" w:hAnsi="Times New Roman"/>
          <w:i/>
          <w:spacing w:val="-4"/>
          <w:lang w:val="de-DE"/>
        </w:rPr>
        <w:t>với cùng kỳ năm 2024)</w:t>
      </w:r>
      <w:r>
        <w:rPr>
          <w:rFonts w:ascii="Times New Roman" w:hAnsi="Times New Roman"/>
          <w:lang w:val="vi-VN"/>
        </w:rPr>
        <w:t>.</w:t>
      </w:r>
      <w:r>
        <w:rPr>
          <w:rFonts w:ascii="Times New Roman" w:eastAsia="Calibri" w:hAnsi="Times New Roman"/>
          <w:lang w:val="de-DE"/>
        </w:rPr>
        <w:t xml:space="preserve"> Tai nạn giao thông đường sắt: xảy ra 02 vụ, làm bị thương 01 người </w:t>
      </w:r>
      <w:r>
        <w:rPr>
          <w:rFonts w:ascii="Times New Roman" w:eastAsia="Calibri" w:hAnsi="Times New Roman"/>
          <w:i/>
          <w:lang w:val="de-DE"/>
        </w:rPr>
        <w:t>(giảm 01 vụ = 33,3%, giảm 01 người chết = 100% so với cùng kỳ năm 2024).</w:t>
      </w:r>
      <w:r>
        <w:rPr>
          <w:rFonts w:ascii="Times New Roman" w:hAnsi="Times New Roman"/>
          <w:lang w:val="vi-VN"/>
        </w:rPr>
        <w:t xml:space="preserve"> Không xảy ra </w:t>
      </w:r>
      <w:r>
        <w:rPr>
          <w:rFonts w:ascii="Times New Roman" w:hAnsi="Times New Roman"/>
        </w:rPr>
        <w:t>tai nạn giao thông</w:t>
      </w:r>
      <w:r>
        <w:rPr>
          <w:rFonts w:ascii="Times New Roman" w:hAnsi="Times New Roman"/>
          <w:lang w:val="vi-VN"/>
        </w:rPr>
        <w:t xml:space="preserve"> đường thủy; không xảy ra </w:t>
      </w:r>
      <w:r>
        <w:rPr>
          <w:rFonts w:ascii="Times New Roman" w:hAnsi="Times New Roman"/>
        </w:rPr>
        <w:t>tai nạn giao thông</w:t>
      </w:r>
      <w:r>
        <w:rPr>
          <w:rFonts w:ascii="Times New Roman" w:hAnsi="Times New Roman"/>
          <w:lang w:val="vi-VN"/>
        </w:rPr>
        <w:t xml:space="preserve"> gây hậu quả đặc biệt nghiêm trọng.</w:t>
      </w:r>
    </w:p>
    <w:p>
      <w:pPr>
        <w:widowControl w:val="0"/>
        <w:spacing w:before="100"/>
        <w:ind w:firstLine="709"/>
        <w:jc w:val="both"/>
        <w:rPr>
          <w:rFonts w:ascii="Times New Roman" w:hAnsi="Times New Roman"/>
          <w:lang w:val="de-DE"/>
        </w:rPr>
      </w:pPr>
      <w:r>
        <w:rPr>
          <w:rFonts w:ascii="Times New Roman" w:hAnsi="Times New Roman"/>
          <w:lang w:val="de-DE"/>
        </w:rPr>
        <w:t xml:space="preserve">- Tình hình cháy, nổ </w:t>
      </w:r>
      <w:r>
        <w:rPr>
          <w:rFonts w:ascii="Times New Roman" w:hAnsi="Times New Roman"/>
          <w:lang w:val="vi-VN"/>
        </w:rPr>
        <w:t>giảm</w:t>
      </w:r>
      <w:r>
        <w:rPr>
          <w:rFonts w:ascii="Times New Roman" w:hAnsi="Times New Roman"/>
          <w:lang w:val="de-DE"/>
        </w:rPr>
        <w:t xml:space="preserve">: </w:t>
      </w:r>
      <w:r>
        <w:rPr>
          <w:rFonts w:ascii="Times New Roman" w:hAnsi="Times New Roman"/>
          <w:lang w:val="vi-VN"/>
        </w:rPr>
        <w:t xml:space="preserve">xảy ra 38 vụ cháy, sự cố cháy </w:t>
      </w:r>
      <w:r>
        <w:rPr>
          <w:rFonts w:ascii="Times New Roman" w:hAnsi="Times New Roman"/>
          <w:i/>
          <w:lang w:val="vi-VN"/>
        </w:rPr>
        <w:t>(giảm 02 vụ = 5,6% so với cùng kỳ 2024)</w:t>
      </w:r>
      <w:r>
        <w:rPr>
          <w:rFonts w:ascii="Times New Roman" w:hAnsi="Times New Roman"/>
          <w:lang w:val="vi-VN"/>
        </w:rPr>
        <w:t xml:space="preserve">, làm bị thương 02 người, thiệt hại về tài sản hơn 500 triệu đồng. Nổ: không xảy ra </w:t>
      </w:r>
      <w:r>
        <w:rPr>
          <w:rFonts w:ascii="Times New Roman" w:hAnsi="Times New Roman"/>
          <w:i/>
          <w:lang w:val="vi-VN"/>
        </w:rPr>
        <w:t>(bằng cùng kỳ năm 2024)</w:t>
      </w:r>
      <w:r>
        <w:rPr>
          <w:rFonts w:ascii="Times New Roman" w:hAnsi="Times New Roman"/>
          <w:lang w:val="vi-VN"/>
        </w:rPr>
        <w:t>.</w:t>
      </w:r>
    </w:p>
    <w:p>
      <w:pPr>
        <w:widowControl w:val="0"/>
        <w:spacing w:before="100"/>
        <w:ind w:firstLine="709"/>
        <w:jc w:val="both"/>
        <w:rPr>
          <w:rFonts w:ascii="Times New Roman" w:hAnsi="Times New Roman"/>
          <w:b/>
          <w:sz w:val="26"/>
          <w:lang w:val="de-DE"/>
        </w:rPr>
      </w:pPr>
      <w:r>
        <w:rPr>
          <w:rFonts w:ascii="Times New Roman" w:hAnsi="Times New Roman"/>
          <w:b/>
          <w:sz w:val="26"/>
          <w:lang w:val="de-DE"/>
        </w:rPr>
        <w:t xml:space="preserve">II. KẾT QUẢ CÔNG TÁC </w:t>
      </w:r>
    </w:p>
    <w:p>
      <w:pPr>
        <w:widowControl w:val="0"/>
        <w:spacing w:before="100"/>
        <w:ind w:firstLine="709"/>
        <w:jc w:val="both"/>
        <w:rPr>
          <w:rFonts w:ascii="Times New Roman" w:hAnsi="Times New Roman"/>
          <w:b/>
          <w:lang w:val="de-DE"/>
        </w:rPr>
      </w:pPr>
      <w:r>
        <w:rPr>
          <w:rFonts w:ascii="Times New Roman" w:hAnsi="Times New Roman"/>
          <w:b/>
          <w:lang w:val="de-DE"/>
        </w:rPr>
        <w:t>1. Công tác chỉ đạo, triển khai</w:t>
      </w:r>
    </w:p>
    <w:p>
      <w:pPr>
        <w:widowControl w:val="0"/>
        <w:spacing w:before="100"/>
        <w:ind w:firstLine="709"/>
        <w:jc w:val="both"/>
        <w:rPr>
          <w:rFonts w:ascii="Times New Roman" w:hAnsi="Times New Roman"/>
          <w:lang w:val="de-DE"/>
        </w:rPr>
      </w:pPr>
      <w:r>
        <w:rPr>
          <w:rFonts w:ascii="Times New Roman" w:hAnsi="Times New Roman"/>
          <w:lang w:val="de-DE"/>
        </w:rPr>
        <w:t>- Tỉnh ủy, UBND tỉnh tiếp tục tập trung chỉ đạo triển khai thực hiện nghiêm túc, quyết liệt các chủ trương của Đảng, chính sách, pháp luật của Nhà nước về công tác phòng, chống tội phạm và vi phạm pháp luật, thực hiện Đề án 06 của Thủ tướng Chính phủ</w:t>
      </w:r>
      <w:r>
        <w:rPr>
          <w:rStyle w:val="FootnoteReference"/>
          <w:rFonts w:ascii="Times New Roman" w:hAnsi="Times New Roman"/>
          <w:lang w:val="de-DE"/>
        </w:rPr>
        <w:footnoteReference w:id="2"/>
      </w:r>
      <w:r>
        <w:rPr>
          <w:rFonts w:ascii="Times New Roman" w:hAnsi="Times New Roman"/>
          <w:lang w:val="de-DE"/>
        </w:rPr>
        <w:t>; chỉ đạo các sở, ban, ngành cấp tỉnh, UBND các huyện, thành phố, thị xã triển khai, thực hiện đồng bộ, hiệu quả các nhiệm vụ, giải pháp sát hợp với tình hình thực tiễn địa bàn, kịp thời giải quyết những vấn đề phát sinh liên quan đến ANTT, không để xảy ra đột xuất, bất ngờ, hình thành “điểm nóng” về ANTT ngay tại cơ sở...</w:t>
      </w:r>
    </w:p>
    <w:p>
      <w:pPr>
        <w:widowControl w:val="0"/>
        <w:spacing w:before="100"/>
        <w:ind w:firstLine="709"/>
        <w:jc w:val="both"/>
        <w:rPr>
          <w:rFonts w:ascii="Times New Roman" w:hAnsi="Times New Roman"/>
          <w:lang w:val="de-DE"/>
        </w:rPr>
      </w:pPr>
      <w:r>
        <w:rPr>
          <w:rFonts w:ascii="Times New Roman" w:hAnsi="Times New Roman"/>
          <w:lang w:val="de-DE"/>
        </w:rPr>
        <w:t>- Chỉ đạo Công an tỉnh đảm bảo việc sắp xếp, tinh gọn tổ chức bộ máy khi không tổ chức Công an cấp huyện thực hiện theo đúng yêu cầu, tiến độ, từng bước vận hành hiệu quả phục vụ công tác phòng, chống tội phạm, đảm bảo trật tự an toàn xã hội; triển khai các mặt công tác tiếp nhận một số chức năng, nhiệm vụ từ các sở, ngành về Công an tỉnh bảo đảm yêu cầu, tiến độ, hoạt động hiệu lực, hiệu quả.</w:t>
      </w:r>
    </w:p>
    <w:p>
      <w:pPr>
        <w:pStyle w:val="NormalWeb"/>
        <w:widowControl w:val="0"/>
        <w:spacing w:beforeAutospacing="0" w:after="0" w:afterAutospacing="0"/>
        <w:ind w:firstLine="720"/>
        <w:jc w:val="both"/>
        <w:textAlignment w:val="baseline"/>
        <w:rPr>
          <w:sz w:val="28"/>
          <w:szCs w:val="28"/>
          <w:lang w:val="de-DE"/>
        </w:rPr>
      </w:pPr>
      <w:r>
        <w:rPr>
          <w:sz w:val="28"/>
          <w:szCs w:val="28"/>
          <w:lang w:val="de-DE"/>
        </w:rPr>
        <w:t>- Chỉ đạo Công an tỉnh (</w:t>
      </w:r>
      <w:r>
        <w:rPr>
          <w:sz w:val="28"/>
          <w:szCs w:val="28"/>
          <w:lang w:val="vi-VN"/>
        </w:rPr>
        <w:t>C</w:t>
      </w:r>
      <w:r>
        <w:rPr>
          <w:sz w:val="28"/>
          <w:szCs w:val="28"/>
          <w:lang w:val="de-DE"/>
        </w:rPr>
        <w:t xml:space="preserve">ơ quan thường trực các Ban </w:t>
      </w:r>
      <w:r>
        <w:rPr>
          <w:sz w:val="28"/>
          <w:szCs w:val="28"/>
          <w:lang w:val="vi-VN"/>
        </w:rPr>
        <w:t>C</w:t>
      </w:r>
      <w:r>
        <w:rPr>
          <w:sz w:val="28"/>
          <w:szCs w:val="28"/>
          <w:lang w:val="de-DE"/>
        </w:rPr>
        <w:t>hỉ đạo về đảm bảo ANTT) phối với các sở, ngành liên quan chỉ đạo, kiểm tra, đôn đốc, hướng dẫn các đơn vị, địa phương triển khai đồng bộ các biện pháp phòng ngừa tội phạm, tệ nạn xã hội; triển khai thực hiện tốt các quy chế phối hợp, nhất là thực hiện Nghị định số 03/2019/NĐ-CP ngày 05/9/2019 của Chính phủ trong thực hiện nhiệm vụ bảo vệ an ninh quốc gia, bảo đảm</w:t>
      </w:r>
      <w:r>
        <w:rPr>
          <w:sz w:val="28"/>
          <w:szCs w:val="28"/>
          <w:lang w:val="vi-VN"/>
        </w:rPr>
        <w:t xml:space="preserve"> </w:t>
      </w:r>
      <w:r>
        <w:rPr>
          <w:sz w:val="28"/>
          <w:szCs w:val="28"/>
          <w:lang w:val="de-DE"/>
        </w:rPr>
        <w:t>trật tự, an toàn xã hội và nhiệm vụ quốc phòng. Duy trì các Tổ công tác đặc biệt (238, 256) chủ động tuần tra, xử lý “tội phạm đường phố”</w:t>
      </w:r>
      <w:r>
        <w:rPr>
          <w:sz w:val="28"/>
          <w:szCs w:val="28"/>
          <w:lang w:val="vi-VN"/>
        </w:rPr>
        <w:t xml:space="preserve"> vào khung giờ cao điểm</w:t>
      </w:r>
      <w:r>
        <w:rPr>
          <w:sz w:val="28"/>
          <w:szCs w:val="28"/>
          <w:lang w:val="de-DE"/>
        </w:rPr>
        <w:t>, vi phạm về nồng độ cồn, ma túy, tốc độ và các vi phạm pháp luật khác khi tham gia giao thông.</w:t>
      </w:r>
    </w:p>
    <w:p>
      <w:pPr>
        <w:widowControl w:val="0"/>
        <w:spacing w:before="100"/>
        <w:ind w:firstLine="709"/>
        <w:jc w:val="both"/>
        <w:rPr>
          <w:rFonts w:ascii="Times New Roman" w:hAnsi="Times New Roman"/>
          <w:lang w:val="vi-VN"/>
        </w:rPr>
      </w:pPr>
      <w:r>
        <w:rPr>
          <w:rFonts w:ascii="Times New Roman" w:hAnsi="Times New Roman"/>
          <w:lang w:val="de-DE"/>
        </w:rPr>
        <w:t>- Tập trung chỉ đạo triển khai đợt cao điểm về rà soát, thống kê, quản lý người nghiện ma túy, người sử dụng trái phép chất ma túy, người sau cai nghiện ma túy và đấu tranh triệt xóa điểm, tụ điểm phức tạp về ma túy. Tiếp tục thực hiện</w:t>
      </w:r>
      <w:r>
        <w:rPr>
          <w:rFonts w:ascii="Times New Roman" w:hAnsi="Times New Roman"/>
          <w:lang w:val="vi-VN"/>
        </w:rPr>
        <w:t xml:space="preserve"> Quyết định số 22/2023/QĐ-TTg ngày 17/8/2023 của Thủ tướng Chính phủ</w:t>
      </w:r>
      <w:r>
        <w:rPr>
          <w:rFonts w:ascii="Times New Roman" w:hAnsi="Times New Roman"/>
          <w:lang w:val="de-DE"/>
        </w:rPr>
        <w:t xml:space="preserve"> về tín dụng đối với người chấp hành xong án phạt tù</w:t>
      </w:r>
      <w:r>
        <w:rPr>
          <w:rStyle w:val="FootnoteReference"/>
          <w:rFonts w:ascii="Times New Roman" w:hAnsi="Times New Roman"/>
        </w:rPr>
        <w:footnoteReference w:id="3"/>
      </w:r>
      <w:r>
        <w:rPr>
          <w:rFonts w:ascii="Times New Roman" w:hAnsi="Times New Roman"/>
          <w:lang w:val="vi-VN"/>
        </w:rPr>
        <w:t>.</w:t>
      </w:r>
    </w:p>
    <w:p>
      <w:pPr>
        <w:widowControl w:val="0"/>
        <w:spacing w:before="100"/>
        <w:ind w:firstLine="709"/>
        <w:jc w:val="both"/>
        <w:rPr>
          <w:rFonts w:ascii="Times New Roman" w:hAnsi="Times New Roman"/>
          <w:lang w:val="de-DE"/>
        </w:rPr>
      </w:pPr>
      <w:r>
        <w:rPr>
          <w:rFonts w:ascii="Times New Roman" w:hAnsi="Times New Roman"/>
          <w:lang w:val="de-DE"/>
        </w:rPr>
        <w:t>- Chỉ đạo triển khai, thực hiện có hiệu quả các nội dung của Đề án 06 trên địa bàn tỉnh; đẩy mạnh ứng dụng Cơ sở dữ liệu quốc gia về dân cư, Căn cước công dân/Căn cước, định danh và xác thực điện tử phục vụ phát triển kinh tế xã hội, nổi bật: tỷ lệ người dân được tích hợp Sổ sức khỏe điện tử trên ứng dụng VNeID đạt tỷ lệ 31</w:t>
      </w:r>
      <w:r>
        <w:rPr>
          <w:rFonts w:ascii="Times New Roman" w:hAnsi="Times New Roman"/>
          <w:lang w:val="vi-VN"/>
        </w:rPr>
        <w:t>,56</w:t>
      </w:r>
      <w:r>
        <w:rPr>
          <w:rFonts w:ascii="Times New Roman" w:hAnsi="Times New Roman"/>
          <w:lang w:val="de-DE"/>
        </w:rPr>
        <w:t xml:space="preserve"> % trên tổng dân số thường trú </w:t>
      </w:r>
      <w:r>
        <w:rPr>
          <w:rFonts w:ascii="Times New Roman" w:hAnsi="Times New Roman"/>
          <w:i/>
          <w:lang w:val="de-DE"/>
        </w:rPr>
        <w:t>(xếp thứ 5 toàn quốc)</w:t>
      </w:r>
      <w:r>
        <w:rPr>
          <w:rFonts w:ascii="Times New Roman" w:hAnsi="Times New Roman"/>
          <w:lang w:val="de-DE"/>
        </w:rPr>
        <w:t xml:space="preserve">. Toàn tỉnh có 1.166.112/1.166.308 người đang tham gia bảo hiểm xã hội, bảo hiểm y tế, bảo hiểm thất nghiệp được xác thực đúng với Cơ sở dữ liệu quốc gia về dân cư </w:t>
      </w:r>
      <w:r>
        <w:rPr>
          <w:rFonts w:ascii="Times New Roman" w:hAnsi="Times New Roman"/>
          <w:i/>
          <w:lang w:val="de-DE"/>
        </w:rPr>
        <w:t>(tương ứng tỷ lệ hơn 99,98% tổng số người đang tham gia đã được đồng bộ - xếp thứ nhất toàn quốc)</w:t>
      </w:r>
      <w:r>
        <w:rPr>
          <w:rFonts w:ascii="Times New Roman" w:hAnsi="Times New Roman"/>
          <w:lang w:val="de-DE"/>
        </w:rPr>
        <w:t>.</w:t>
      </w:r>
    </w:p>
    <w:p>
      <w:pPr>
        <w:widowControl w:val="0"/>
        <w:spacing w:before="100"/>
        <w:ind w:firstLine="709"/>
        <w:jc w:val="both"/>
        <w:rPr>
          <w:rFonts w:ascii="Times New Roman" w:hAnsi="Times New Roman"/>
          <w:lang w:val="de-DE"/>
        </w:rPr>
      </w:pPr>
      <w:r>
        <w:rPr>
          <w:rFonts w:ascii="Times New Roman" w:hAnsi="Times New Roman"/>
          <w:lang w:val="de-DE"/>
        </w:rPr>
        <w:t>- Duy trì các hoạt động hợp tác quốc tế với hai tỉnh Khăm Muồn và Bôlykhămxay (Lào) trong</w:t>
      </w:r>
      <w:r>
        <w:rPr>
          <w:rFonts w:ascii="Times New Roman" w:hAnsi="Times New Roman"/>
          <w:lang w:val="vi-VN"/>
        </w:rPr>
        <w:t xml:space="preserve"> công tác</w:t>
      </w:r>
      <w:r>
        <w:rPr>
          <w:rFonts w:ascii="Times New Roman" w:hAnsi="Times New Roman"/>
          <w:lang w:val="de-DE"/>
        </w:rPr>
        <w:t xml:space="preserve"> đảm bảo an ninh biên giới, phòng chống tội phạm xuyên quốc gia, nhất là tội phạm ma túy, </w:t>
      </w:r>
      <w:r>
        <w:rPr>
          <w:rFonts w:ascii="Times New Roman" w:hAnsi="Times New Roman"/>
          <w:lang w:val="vi-VN"/>
        </w:rPr>
        <w:t xml:space="preserve">tội phạm mua bán người, đưa người xuất, nhập cảnh trái phép, </w:t>
      </w:r>
      <w:r>
        <w:rPr>
          <w:rFonts w:ascii="Times New Roman" w:hAnsi="Times New Roman"/>
          <w:lang w:val="de-DE"/>
        </w:rPr>
        <w:t>tội phạm và vi phạm về buôn lậu, vận chuyển trái phép hàng hóa qua biên giới.</w:t>
      </w:r>
    </w:p>
    <w:p>
      <w:pPr>
        <w:widowControl w:val="0"/>
        <w:spacing w:before="100"/>
        <w:ind w:firstLine="720"/>
        <w:jc w:val="both"/>
        <w:rPr>
          <w:rFonts w:ascii="Times New Roman" w:hAnsi="Times New Roman"/>
          <w:b/>
          <w:lang w:val="de-DE"/>
        </w:rPr>
      </w:pPr>
      <w:r>
        <w:rPr>
          <w:rFonts w:ascii="Times New Roman" w:hAnsi="Times New Roman"/>
          <w:b/>
          <w:lang w:val="de-DE"/>
        </w:rPr>
        <w:t>2. Công tác tuyên truyền, phòng ngừa</w:t>
      </w:r>
    </w:p>
    <w:p>
      <w:pPr>
        <w:widowControl w:val="0"/>
        <w:spacing w:before="100"/>
        <w:ind w:firstLine="720"/>
        <w:jc w:val="both"/>
        <w:rPr>
          <w:rFonts w:ascii="Times New Roman" w:hAnsi="Times New Roman"/>
          <w:lang w:val="de-DE"/>
        </w:rPr>
      </w:pPr>
      <w:r>
        <w:rPr>
          <w:rFonts w:ascii="Times New Roman" w:hAnsi="Times New Roman"/>
          <w:lang w:val="vi-VN"/>
        </w:rPr>
        <w:t>-</w:t>
      </w:r>
      <w:r>
        <w:rPr>
          <w:rFonts w:ascii="Times New Roman" w:hAnsi="Times New Roman"/>
          <w:lang w:val="de-DE"/>
        </w:rPr>
        <w:t xml:space="preserve"> UBND tỉnh, Ban Chỉ đạo 138 tỉnh chỉ đạo các cấp, các ngành tăng cường công tác tuyên truyền, phổ biến, giáo dục pháp luật, phòng ngừa tội phạm ngay từ cơ sở; trọng tâm là: tuyên truyền pháp luật về phòng, chống hoạt động “tín dụng đen”, tệ nạn xã hội (ma túy, cờ bạc), kỹ năng nhận diện, phòng ngừa lừa đảo trên không gian mạng; tuyên truyền về công tác đảm bảo trật tự an toàn giao thông, phòng ngừa cháy, nổ, sử dụng vũ khí, vật liệu nổ, pháo trái phép; thông tin về phương thức, thủ đoạn hoạt động của các loại tội phạm và kết quả đấu tranh, xử lý của các lực lượng chức năng; vận động Nhân dân giao nộp vũ khí, vật liệu nổ, công cụ hỗ trợ, pháo; tích cực tố giác tội phạm.</w:t>
      </w:r>
    </w:p>
    <w:p>
      <w:pPr>
        <w:widowControl w:val="0"/>
        <w:spacing w:before="100"/>
        <w:ind w:firstLine="720"/>
        <w:jc w:val="both"/>
        <w:rPr>
          <w:rFonts w:ascii="Times New Roman" w:hAnsi="Times New Roman"/>
          <w:bCs/>
          <w:lang w:val="de-DE"/>
        </w:rPr>
      </w:pPr>
      <w:r>
        <w:rPr>
          <w:rFonts w:ascii="Times New Roman" w:hAnsi="Times New Roman"/>
          <w:bCs/>
          <w:lang w:val="de-DE"/>
        </w:rPr>
        <w:t>- Xây dựng, ra mắt 07 mô hình, củng cố, duy trì hoạt động 47 loại mô hình trong phong trào toàn dân bảo vệ an ninh Tổ quốc với trên 1.000 điểm mô hình, đảm bảo chất lượng, hiệu quả trên từng địa bàn, lĩnh vực, điển hình như: (1) mô hình “Giáo xứ an toàn, gia đình hòa thuận”, (2) mô hình “Xã đảm bảo trật tự an toàn giao thông” (3) mô hình “Đổi vũ khí, vật liệu nổ, công cụ hỗ trợ và pháo lấy bình chữa cháy” (4) mô hình “Hệ thống, phương tiện phòng cháy, chữa cháy và cứu nạn, cứu hộ”... Huy động lực lượng tham gia bảo vệ ANTT ở cơ sở hỗ trợ, phối hợp với lực lượng Công an các cấp đảm bảo ANTT tại địa bàn, nhất là phối hợp đảm bảo trật tự an toàn giao thông.</w:t>
      </w:r>
    </w:p>
    <w:p>
      <w:pPr>
        <w:pStyle w:val="NormalWeb"/>
        <w:widowControl w:val="0"/>
        <w:tabs>
          <w:tab w:val="left" w:pos="737"/>
        </w:tabs>
        <w:spacing w:beforeAutospacing="0" w:after="0" w:afterAutospacing="0"/>
        <w:ind w:firstLine="720"/>
        <w:jc w:val="both"/>
        <w:rPr>
          <w:sz w:val="28"/>
          <w:szCs w:val="28"/>
          <w:lang w:val="de-DE"/>
        </w:rPr>
      </w:pPr>
      <w:r>
        <w:rPr>
          <w:sz w:val="28"/>
          <w:szCs w:val="28"/>
          <w:lang w:val="de-DE"/>
        </w:rPr>
        <w:tab/>
        <w:t>-</w:t>
      </w:r>
      <w:r>
        <w:rPr>
          <w:sz w:val="28"/>
          <w:szCs w:val="28"/>
          <w:lang w:val="vi-VN"/>
        </w:rPr>
        <w:t xml:space="preserve"> Tiếp tục thực hiện</w:t>
      </w:r>
      <w:r>
        <w:rPr>
          <w:sz w:val="28"/>
          <w:szCs w:val="28"/>
          <w:lang w:val="de-DE"/>
        </w:rPr>
        <w:t xml:space="preserve"> công tác chuyển hóa địa bàn trọng điểm, phức tạp về ANTT, trật tự an toàn xã hội lồng ghép với việc triển khai thực hiện</w:t>
      </w:r>
      <w:r>
        <w:rPr>
          <w:sz w:val="28"/>
          <w:szCs w:val="28"/>
          <w:lang w:val="vi-VN"/>
        </w:rPr>
        <w:t xml:space="preserve"> Đề án “Nâng cao hiệu quả công tác phòng chống ma túy trên địa bàn tỉnh Hà Tĩnh giai đoạn 2022 - 2026”</w:t>
      </w:r>
      <w:r>
        <w:rPr>
          <w:sz w:val="28"/>
          <w:szCs w:val="28"/>
          <w:lang w:val="de-DE"/>
        </w:rPr>
        <w:t xml:space="preserve">. Hiện nay, số xã, phường, thị trấn không có tệ nạn ma túy là </w:t>
      </w:r>
      <w:r>
        <w:rPr>
          <w:bCs/>
          <w:sz w:val="28"/>
          <w:szCs w:val="28"/>
          <w:lang w:val="de-DE"/>
        </w:rPr>
        <w:t>3</w:t>
      </w:r>
      <w:r>
        <w:rPr>
          <w:bCs/>
          <w:sz w:val="28"/>
          <w:szCs w:val="28"/>
          <w:lang w:val="vi-VN"/>
        </w:rPr>
        <w:t>1</w:t>
      </w:r>
      <w:r>
        <w:rPr>
          <w:bCs/>
          <w:sz w:val="28"/>
          <w:szCs w:val="28"/>
          <w:lang w:val="de-DE"/>
        </w:rPr>
        <w:t>/209</w:t>
      </w:r>
      <w:r>
        <w:rPr>
          <w:sz w:val="28"/>
          <w:szCs w:val="28"/>
          <w:lang w:val="de-DE"/>
        </w:rPr>
        <w:t xml:space="preserve"> </w:t>
      </w:r>
      <w:r>
        <w:rPr>
          <w:i/>
          <w:sz w:val="28"/>
          <w:szCs w:val="28"/>
          <w:lang w:val="de-DE"/>
        </w:rPr>
        <w:t>(chiếm 1</w:t>
      </w:r>
      <w:r>
        <w:rPr>
          <w:i/>
          <w:sz w:val="28"/>
          <w:szCs w:val="28"/>
          <w:lang w:val="vi-VN"/>
        </w:rPr>
        <w:t>4</w:t>
      </w:r>
      <w:r>
        <w:rPr>
          <w:i/>
          <w:sz w:val="28"/>
          <w:szCs w:val="28"/>
          <w:lang w:val="de-DE"/>
        </w:rPr>
        <w:t>,8%)</w:t>
      </w:r>
      <w:r>
        <w:rPr>
          <w:sz w:val="28"/>
          <w:szCs w:val="28"/>
          <w:lang w:val="de-DE"/>
        </w:rPr>
        <w:t>. Nhiều đơn vị, địa phương đã hoàn thành chuyển hóa và giữ vững ổn định chính trị, ANTT, tạo thuận lợi cho phát triển kinh tế - xã hội.</w:t>
      </w:r>
    </w:p>
    <w:p>
      <w:pPr>
        <w:widowControl w:val="0"/>
        <w:tabs>
          <w:tab w:val="left" w:pos="567"/>
        </w:tabs>
        <w:spacing w:before="100"/>
        <w:ind w:firstLine="709"/>
        <w:jc w:val="both"/>
        <w:rPr>
          <w:rFonts w:ascii="Times New Roman" w:hAnsi="Times New Roman"/>
          <w:b/>
          <w:iCs/>
          <w:lang w:val="de-DE"/>
        </w:rPr>
      </w:pPr>
      <w:r>
        <w:rPr>
          <w:rFonts w:ascii="Times New Roman" w:hAnsi="Times New Roman"/>
          <w:b/>
          <w:iCs/>
          <w:lang w:val="de-DE"/>
        </w:rPr>
        <w:t>3. Công tác đấu tranh, xử lý</w:t>
      </w:r>
    </w:p>
    <w:p>
      <w:pPr>
        <w:widowControl w:val="0"/>
        <w:spacing w:before="100"/>
        <w:ind w:firstLine="709"/>
        <w:jc w:val="both"/>
        <w:rPr>
          <w:rFonts w:ascii="Times New Roman" w:hAnsi="Times New Roman"/>
          <w:b/>
          <w:i/>
          <w:lang w:val="de-DE"/>
        </w:rPr>
      </w:pPr>
      <w:r>
        <w:rPr>
          <w:rFonts w:ascii="Times New Roman" w:hAnsi="Times New Roman"/>
          <w:b/>
          <w:i/>
          <w:lang w:val="de-DE"/>
        </w:rPr>
        <w:t>3.1. Trên lĩnh vực bảo vệ an ninh quốc gia</w:t>
      </w:r>
    </w:p>
    <w:p>
      <w:pPr>
        <w:widowControl w:val="0"/>
        <w:spacing w:before="100"/>
        <w:ind w:firstLine="709"/>
        <w:jc w:val="both"/>
        <w:rPr>
          <w:rFonts w:ascii="Times New Roman" w:hAnsi="Times New Roman"/>
          <w:lang w:val="de-DE"/>
        </w:rPr>
      </w:pPr>
      <w:r>
        <w:rPr>
          <w:rFonts w:ascii="Times New Roman" w:hAnsi="Times New Roman"/>
          <w:lang w:val="de-DE"/>
        </w:rPr>
        <w:t>- Tập trung chỉ đạo các cơ quan, đơn vị, địa phương chủ động xây dựng, triển khai kế hoạch rà soát, nắm tình hình an ninh chính trị nội bộ; kịp thời phát hiện, tham mưu xử lý các vấn đề liên quan đến Đại hội Đảng các cấp khóa XIV, chủ trương sắp xếp, tinh gọn bộ máy của hệ thống chính trị.</w:t>
      </w:r>
    </w:p>
    <w:p>
      <w:pPr>
        <w:widowControl w:val="0"/>
        <w:spacing w:before="100"/>
        <w:ind w:firstLine="709"/>
        <w:jc w:val="both"/>
        <w:rPr>
          <w:rFonts w:ascii="Times New Roman" w:hAnsi="Times New Roman"/>
          <w:highlight w:val="yellow"/>
          <w:lang w:val="de-DE"/>
        </w:rPr>
      </w:pPr>
      <w:r>
        <w:rPr>
          <w:rFonts w:ascii="Times New Roman" w:hAnsi="Times New Roman"/>
          <w:lang w:val="de-DE"/>
        </w:rPr>
        <w:t>- Triển khai thực hiện tốt các mặt công tác bảo đảm an ninh mạng, trong đó đã tập trung rà soát, vô hiệu hóa 16 nguồn phát tán bài viết, video có nội dung xấu độc trên mạng xã hội; tiến hành rà quét lỗ hổng bảo mật trên các website, trang, cổng thông tin điện tử, phần mềm quản lý công việc của các sở, ban, ngành, địa phương</w:t>
      </w:r>
      <w:r>
        <w:rPr>
          <w:rFonts w:ascii="Times New Roman" w:hAnsi="Times New Roman"/>
          <w:lang w:val="vi-VN"/>
        </w:rPr>
        <w:t>.</w:t>
      </w:r>
      <w:r>
        <w:rPr>
          <w:rFonts w:ascii="Times New Roman" w:hAnsi="Times New Roman"/>
          <w:lang w:val="de-DE"/>
        </w:rPr>
        <w:t xml:space="preserve"> Phối hợp bóc gỡ nội dung xấu, độc, quảng cáo đánh bạc trực tuyến tại 04 cổng thông tin điện tử; phát hiện 04 trường hợp vi phạm các quy định về an ninh mạng, phạt tiền hơn 22 triệu đồng và 11 trường vi phạm trên các lĩnh vực quảng cáo, y tế, phạt tiền hơn 144 triệu đồng.</w:t>
      </w:r>
    </w:p>
    <w:p>
      <w:pPr>
        <w:widowControl w:val="0"/>
        <w:spacing w:before="100"/>
        <w:ind w:firstLine="720"/>
        <w:jc w:val="both"/>
        <w:rPr>
          <w:rFonts w:ascii="Times New Roman" w:hAnsi="Times New Roman"/>
          <w:lang w:val="de-DE"/>
        </w:rPr>
      </w:pPr>
      <w:r>
        <w:rPr>
          <w:rFonts w:ascii="Times New Roman" w:hAnsi="Times New Roman"/>
          <w:lang w:val="vi-VN"/>
        </w:rPr>
        <w:t xml:space="preserve">- </w:t>
      </w:r>
      <w:r>
        <w:rPr>
          <w:rFonts w:ascii="Times New Roman" w:hAnsi="Times New Roman"/>
          <w:bCs/>
          <w:lang w:val="vi-VN"/>
        </w:rPr>
        <w:t>T</w:t>
      </w:r>
      <w:r>
        <w:rPr>
          <w:rFonts w:ascii="Times New Roman" w:hAnsi="Times New Roman"/>
          <w:bCs/>
          <w:lang w:val="de-DE"/>
        </w:rPr>
        <w:t>riển khai</w:t>
      </w:r>
      <w:r>
        <w:rPr>
          <w:rFonts w:ascii="Times New Roman" w:hAnsi="Times New Roman"/>
          <w:bCs/>
          <w:lang w:val="vi-VN"/>
        </w:rPr>
        <w:t xml:space="preserve"> các</w:t>
      </w:r>
      <w:r>
        <w:rPr>
          <w:rFonts w:ascii="Times New Roman" w:hAnsi="Times New Roman"/>
          <w:bCs/>
          <w:lang w:val="de-DE"/>
        </w:rPr>
        <w:t xml:space="preserve"> kế hoạch, biện pháp công tác kịp thời giải quyết ngay từ cơ sở, không để phát sinh vụ việc phức tạp về ANTT, nhất là vấn đề bồi thường, giải phóng mặt bằng liên quan các dự án kinh tế trọng điểm đang triển khai. T</w:t>
      </w:r>
      <w:r>
        <w:rPr>
          <w:rFonts w:ascii="Times New Roman" w:hAnsi="Times New Roman"/>
          <w:bCs/>
          <w:lang w:val="vi-VN"/>
        </w:rPr>
        <w:t>ập trung</w:t>
      </w:r>
      <w:r>
        <w:rPr>
          <w:rFonts w:ascii="Times New Roman" w:hAnsi="Times New Roman"/>
          <w:lang w:val="nl-NL"/>
        </w:rPr>
        <w:t xml:space="preserve"> giải quyết các vụ việc</w:t>
      </w:r>
      <w:r>
        <w:rPr>
          <w:rFonts w:ascii="Times New Roman" w:hAnsi="Times New Roman"/>
          <w:lang w:val="vi-VN"/>
        </w:rPr>
        <w:t xml:space="preserve"> khiếu kiện,</w:t>
      </w:r>
      <w:r>
        <w:rPr>
          <w:rFonts w:ascii="Times New Roman" w:hAnsi="Times New Roman"/>
          <w:lang w:val="de-DE"/>
        </w:rPr>
        <w:t xml:space="preserve"> đảm bảo ổn định tình hình;</w:t>
      </w:r>
      <w:r>
        <w:rPr>
          <w:rFonts w:ascii="Times New Roman" w:hAnsi="Times New Roman"/>
          <w:lang w:val="vi-VN"/>
        </w:rPr>
        <w:t xml:space="preserve"> kiềm chế số đối tượng phức tạp, đầu đơn </w:t>
      </w:r>
      <w:r>
        <w:rPr>
          <w:rFonts w:ascii="Times New Roman" w:hAnsi="Times New Roman"/>
          <w:lang w:val="de-DE"/>
        </w:rPr>
        <w:t>kích động khiếu kiện trái pháp luật.</w:t>
      </w:r>
    </w:p>
    <w:p>
      <w:pPr>
        <w:widowControl w:val="0"/>
        <w:spacing w:before="100"/>
        <w:ind w:firstLine="709"/>
        <w:jc w:val="both"/>
        <w:rPr>
          <w:rFonts w:ascii="Times New Roman" w:hAnsi="Times New Roman"/>
          <w:lang w:val="de-DE"/>
        </w:rPr>
      </w:pPr>
      <w:r>
        <w:rPr>
          <w:rFonts w:ascii="Times New Roman" w:hAnsi="Times New Roman"/>
          <w:iCs/>
          <w:lang w:val="de-DE"/>
        </w:rPr>
        <w:t xml:space="preserve">- </w:t>
      </w:r>
      <w:r>
        <w:rPr>
          <w:rFonts w:ascii="Times New Roman" w:hAnsi="Times New Roman"/>
          <w:iCs/>
          <w:lang w:val="vi-VN"/>
        </w:rPr>
        <w:t xml:space="preserve">Chỉ đạo các </w:t>
      </w:r>
      <w:r>
        <w:rPr>
          <w:rFonts w:ascii="Times New Roman" w:hAnsi="Times New Roman"/>
          <w:lang w:val="de-DE"/>
        </w:rPr>
        <w:t xml:space="preserve">cơ quan, đơn vị, chính quyền địa phương </w:t>
      </w:r>
      <w:r>
        <w:rPr>
          <w:rFonts w:ascii="Times New Roman" w:hAnsi="Times New Roman"/>
          <w:lang w:val="vi-VN"/>
        </w:rPr>
        <w:t>n</w:t>
      </w:r>
      <w:r>
        <w:rPr>
          <w:rFonts w:ascii="Times New Roman" w:hAnsi="Times New Roman"/>
          <w:lang w:val="de-DE"/>
        </w:rPr>
        <w:t>ắm chắc tình hình</w:t>
      </w:r>
      <w:r>
        <w:rPr>
          <w:rFonts w:ascii="Times New Roman" w:hAnsi="Times New Roman"/>
          <w:lang w:val="vi-VN"/>
        </w:rPr>
        <w:t xml:space="preserve">, </w:t>
      </w:r>
      <w:r>
        <w:rPr>
          <w:rFonts w:ascii="Times New Roman" w:hAnsi="Times New Roman"/>
          <w:lang w:val="de-DE"/>
        </w:rPr>
        <w:t xml:space="preserve">phối hợp với cơ quan liên quan làm tốt công tác bảo vệ chính trị nội bộ. Đảm bảo tuyệt đối an toàn </w:t>
      </w:r>
      <w:r>
        <w:rPr>
          <w:rFonts w:ascii="Times New Roman" w:hAnsi="Times New Roman"/>
          <w:lang w:val="vi-VN"/>
        </w:rPr>
        <w:t>hoạt động</w:t>
      </w:r>
      <w:r>
        <w:rPr>
          <w:rFonts w:ascii="Times New Roman" w:hAnsi="Times New Roman"/>
          <w:lang w:val="de-DE"/>
        </w:rPr>
        <w:t xml:space="preserve"> của các đoàn lãnh đạo Đảng, Nhà nước đến thăm, làm việc và các sự kiện văn hóa, chính trị, xã hội lớn diễn ra trong 6 tháng đầu năm 2025 trên địa bàn tỉnh.</w:t>
      </w:r>
    </w:p>
    <w:p>
      <w:pPr>
        <w:widowControl w:val="0"/>
        <w:spacing w:before="100"/>
        <w:ind w:firstLine="709"/>
        <w:rPr>
          <w:rFonts w:ascii="Times New Roman" w:hAnsi="Times New Roman"/>
          <w:b/>
          <w:i/>
          <w:lang w:val="de-DE"/>
        </w:rPr>
      </w:pPr>
      <w:r>
        <w:rPr>
          <w:rFonts w:ascii="Times New Roman" w:hAnsi="Times New Roman"/>
          <w:b/>
          <w:i/>
          <w:lang w:val="de-DE"/>
        </w:rPr>
        <w:t>3.2. Trên lĩnh vực đấu tranh phòng, chống tội phạm</w:t>
      </w:r>
    </w:p>
    <w:p>
      <w:pPr>
        <w:widowControl w:val="0"/>
        <w:spacing w:before="100"/>
        <w:ind w:firstLine="720"/>
        <w:jc w:val="both"/>
        <w:rPr>
          <w:rFonts w:ascii="Times New Roman" w:hAnsi="Times New Roman"/>
          <w:lang w:val="eu-ES"/>
        </w:rPr>
      </w:pPr>
      <w:r>
        <w:rPr>
          <w:rFonts w:ascii="Times New Roman" w:hAnsi="Times New Roman"/>
          <w:lang w:val="eu-ES"/>
        </w:rPr>
        <w:t>Tập trung triển khai tấn công, trấn áp tội phạm, bảo đảm ANTT Tết Nguyên đán Ất Tỵ 2025 gắn với cao điểm theo các lĩnh vực, hệ loại đối tượng như: đấu tranh, phòng, chống vi phạm pháp luật về vũ khí, vật liệu nổ, công cụ hỗ trợ và pháo; phòng phòng ngừa tội phạm và vi phạm pháp luật liên quan đến thanh thiếu niên trên địa bàn; rà soát, phát hiện, thống kê, quản lý người nghiện ma túy, người sử dụng trái phép chất ma túy, người bị quản lý sau cai nghiện ma túy và đấu tranh, triệt xóa điểm, tụ điểm phức tạp về ma túy; đấu tranh, xử lý tội phạm và vi phạm pháp luật trong hoạt động khai thác, vận chuyển, tàng trữ, tiêu thụ trái phép cát, sỏi; tấn công, trấn áp tội phạm, vi phạm pháp luật liên quan đến sử dụng công nghệ cao, lợi dụng không gian mạng; rà soát, đấu tranh, xử lý tội phạm và vi phạm pháp luật về an toàn thực phẩm; đấu tranh, ngăn chặn, đẩy lùi tình trạng buôn lậu, gian lận thương mại, sản xuất buôn bán hàng giả, xâm phạm quyền sở hữu trí tuệ. Kết quả:</w:t>
      </w:r>
    </w:p>
    <w:p>
      <w:pPr>
        <w:widowControl w:val="0"/>
        <w:spacing w:before="100"/>
        <w:ind w:firstLine="720"/>
        <w:jc w:val="both"/>
        <w:rPr>
          <w:rFonts w:ascii="Times New Roman" w:hAnsi="Times New Roman"/>
          <w:lang w:val="eu-ES"/>
        </w:rPr>
      </w:pPr>
      <w:r>
        <w:rPr>
          <w:rFonts w:ascii="Times New Roman" w:hAnsi="Times New Roman"/>
          <w:lang w:val="eu-ES"/>
        </w:rPr>
        <w:t xml:space="preserve">- </w:t>
      </w:r>
      <w:r>
        <w:rPr>
          <w:rFonts w:ascii="Times New Roman" w:hAnsi="Times New Roman"/>
          <w:lang w:val="de-DE"/>
        </w:rPr>
        <w:t xml:space="preserve">Điều tra khám phá </w:t>
      </w:r>
      <w:r>
        <w:rPr>
          <w:rFonts w:ascii="Times New Roman" w:eastAsia="Calibri" w:hAnsi="Times New Roman"/>
          <w:lang w:val="vi-VN"/>
        </w:rPr>
        <w:t>211</w:t>
      </w:r>
      <w:r>
        <w:rPr>
          <w:rFonts w:ascii="Times New Roman" w:eastAsia="Calibri" w:hAnsi="Times New Roman"/>
          <w:lang w:val="de-DE"/>
        </w:rPr>
        <w:t xml:space="preserve"> vụ, 323 đối tượng phạm tội hình sự </w:t>
      </w:r>
      <w:r>
        <w:rPr>
          <w:rFonts w:ascii="Times New Roman" w:eastAsia="Calibri" w:hAnsi="Times New Roman"/>
          <w:i/>
          <w:lang w:val="de-DE"/>
        </w:rPr>
        <w:t>(đạt tỷ lệ</w:t>
      </w:r>
      <w:r>
        <w:rPr>
          <w:rFonts w:ascii="Times New Roman" w:eastAsia="Calibri" w:hAnsi="Times New Roman"/>
          <w:b/>
          <w:i/>
          <w:lang w:val="de-DE"/>
        </w:rPr>
        <w:t xml:space="preserve"> </w:t>
      </w:r>
      <w:r>
        <w:rPr>
          <w:rFonts w:ascii="Times New Roman" w:eastAsia="Calibri" w:hAnsi="Times New Roman"/>
          <w:i/>
          <w:lang w:val="eu-ES"/>
        </w:rPr>
        <w:t>78</w:t>
      </w:r>
      <w:r>
        <w:rPr>
          <w:rFonts w:ascii="Times New Roman" w:eastAsia="Calibri" w:hAnsi="Times New Roman"/>
          <w:i/>
          <w:lang w:val="vi-VN"/>
        </w:rPr>
        <w:t>,1</w:t>
      </w:r>
      <w:r>
        <w:rPr>
          <w:rFonts w:ascii="Times New Roman" w:eastAsia="Calibri" w:hAnsi="Times New Roman"/>
          <w:i/>
          <w:lang w:val="de-DE"/>
        </w:rPr>
        <w:t>%, trong đó án đặc biệt nghiêm trọng đạt tỷ lệ 81%)</w:t>
      </w:r>
      <w:r>
        <w:rPr>
          <w:rFonts w:ascii="Times New Roman" w:hAnsi="Times New Roman"/>
          <w:lang w:val="de-DE"/>
        </w:rPr>
        <w:t xml:space="preserve">, thu hồi tài sản trị giá </w:t>
      </w:r>
      <w:r>
        <w:rPr>
          <w:rFonts w:ascii="Times New Roman" w:hAnsi="Times New Roman"/>
          <w:lang w:val="eu-ES"/>
        </w:rPr>
        <w:t>6,5</w:t>
      </w:r>
      <w:r>
        <w:rPr>
          <w:rFonts w:ascii="Times New Roman" w:hAnsi="Times New Roman"/>
          <w:lang w:val="de-DE"/>
        </w:rPr>
        <w:t xml:space="preserve"> tỷ đồng</w:t>
      </w:r>
      <w:r>
        <w:rPr>
          <w:rFonts w:ascii="Times New Roman" w:hAnsi="Times New Roman"/>
          <w:lang w:val="eu-ES"/>
        </w:rPr>
        <w:t>. Đẩy mạnh thực hiện cao điểm tấn công, trấn áp tội phạm, vi phạm pháp luật liên quan đến sử dụng công nghệ cao, lợi dụng không gian mạng, khởi tố 23 vụ, 45 bị can.</w:t>
      </w:r>
    </w:p>
    <w:p>
      <w:pPr>
        <w:widowControl w:val="0"/>
        <w:tabs>
          <w:tab w:val="left" w:pos="284"/>
          <w:tab w:val="left" w:pos="993"/>
        </w:tabs>
        <w:spacing w:before="100"/>
        <w:ind w:firstLine="720"/>
        <w:jc w:val="both"/>
        <w:rPr>
          <w:rFonts w:ascii="Times New Roman" w:hAnsi="Times New Roman"/>
          <w:spacing w:val="-1"/>
          <w:lang w:val="de-DE"/>
        </w:rPr>
      </w:pPr>
      <w:r>
        <w:rPr>
          <w:rFonts w:ascii="Times New Roman" w:hAnsi="Times New Roman"/>
          <w:spacing w:val="-1"/>
          <w:lang w:val="de-DE"/>
        </w:rPr>
        <w:t xml:space="preserve">- Đấu tranh hiệu quả với </w:t>
      </w:r>
      <w:r>
        <w:rPr>
          <w:rFonts w:ascii="Times New Roman" w:hAnsi="Times New Roman"/>
          <w:color w:val="000000"/>
          <w:lang w:val="eu-ES"/>
        </w:rPr>
        <w:t>tội phạm, vi phạm pháp luật về tham nhũng, kinh tế, buôn lậu</w:t>
      </w:r>
      <w:r>
        <w:rPr>
          <w:rFonts w:ascii="Times New Roman" w:hAnsi="Times New Roman"/>
          <w:spacing w:val="-1"/>
          <w:lang w:val="de-DE"/>
        </w:rPr>
        <w:t xml:space="preserve">; bắt 107 vụ, 02 tổ chức, 145 cá nhân vi phạm </w:t>
      </w:r>
      <w:r>
        <w:rPr>
          <w:rFonts w:ascii="Times New Roman" w:hAnsi="Times New Roman"/>
          <w:i/>
          <w:spacing w:val="-1"/>
          <w:lang w:val="de-DE"/>
        </w:rPr>
        <w:t>(giảm 41 vụ = 27,7% so với cùng kỳ năm 2024)</w:t>
      </w:r>
      <w:r>
        <w:rPr>
          <w:rFonts w:ascii="Times New Roman" w:hAnsi="Times New Roman"/>
          <w:spacing w:val="-1"/>
          <w:lang w:val="de-DE"/>
        </w:rPr>
        <w:t xml:space="preserve">; thu giữ: </w:t>
      </w:r>
      <w:r>
        <w:rPr>
          <w:rFonts w:ascii="Times New Roman" w:hAnsi="Times New Roman"/>
          <w:color w:val="000000"/>
          <w:lang w:val="eu-ES"/>
        </w:rPr>
        <w:t>hơn 36 tấn thực phẩm, 720 hộp thuốc, thực phẩm chức năng giả, 520 thùng bia, hơn 38.000 gói thuốc lá lậu, gần 1,3 tấn vàng và hàng hóa trị giá hơn 4,7 tỷ đồng</w:t>
      </w:r>
      <w:r>
        <w:rPr>
          <w:rFonts w:ascii="Times New Roman" w:hAnsi="Times New Roman"/>
          <w:color w:val="000000"/>
          <w:lang w:val="vi-VN"/>
        </w:rPr>
        <w:t>.</w:t>
      </w:r>
      <w:r>
        <w:rPr>
          <w:rFonts w:ascii="Times New Roman" w:hAnsi="Times New Roman"/>
          <w:spacing w:val="-1"/>
          <w:lang w:val="de-DE"/>
        </w:rPr>
        <w:t xml:space="preserve"> Đã</w:t>
      </w:r>
      <w:r>
        <w:rPr>
          <w:rFonts w:ascii="Times New Roman" w:hAnsi="Times New Roman"/>
          <w:spacing w:val="-1"/>
          <w:lang w:val="vi-VN"/>
        </w:rPr>
        <w:t xml:space="preserve"> k</w:t>
      </w:r>
      <w:r>
        <w:rPr>
          <w:rFonts w:ascii="Times New Roman" w:hAnsi="Times New Roman"/>
          <w:spacing w:val="-1"/>
          <w:lang w:val="de-DE"/>
        </w:rPr>
        <w:t>hởi tố 28 vụ, 66 bị can; trong đó, khởi tố 15 vụ, 21 bị can phạm tội về pháo.</w:t>
      </w:r>
      <w:r>
        <w:rPr>
          <w:rFonts w:ascii="Times New Roman" w:hAnsi="Times New Roman"/>
          <w:lang w:val="eu-ES"/>
        </w:rPr>
        <w:t xml:space="preserve"> </w:t>
      </w:r>
      <w:r>
        <w:rPr>
          <w:rFonts w:ascii="Times New Roman" w:hAnsi="Times New Roman"/>
          <w:spacing w:val="-1"/>
          <w:lang w:val="de-DE"/>
        </w:rPr>
        <w:t>Kiên quyết đấu tranh với tội phạm tham nhũng, lãng phí với phương châm “không có vùng cấm, không có ngoại lệ”; phát hiện, bắt giữ, khởi tố 04 vụ, 04 bị can.</w:t>
      </w:r>
    </w:p>
    <w:p>
      <w:pPr>
        <w:widowControl w:val="0"/>
        <w:tabs>
          <w:tab w:val="left" w:pos="284"/>
          <w:tab w:val="left" w:pos="993"/>
        </w:tabs>
        <w:spacing w:before="100"/>
        <w:ind w:firstLine="720"/>
        <w:jc w:val="both"/>
        <w:rPr>
          <w:rFonts w:ascii="Times New Roman" w:hAnsi="Times New Roman"/>
          <w:lang w:val="de-DE"/>
        </w:rPr>
      </w:pPr>
      <w:r>
        <w:rPr>
          <w:rFonts w:ascii="Times New Roman" w:hAnsi="Times New Roman"/>
          <w:spacing w:val="-1"/>
          <w:lang w:val="de-DE"/>
        </w:rPr>
        <w:t xml:space="preserve">- </w:t>
      </w:r>
      <w:r>
        <w:rPr>
          <w:rFonts w:ascii="Times New Roman" w:hAnsi="Times New Roman"/>
          <w:lang w:val="es-PE"/>
        </w:rPr>
        <w:t xml:space="preserve">Tăng cường </w:t>
      </w:r>
      <w:r>
        <w:rPr>
          <w:rFonts w:ascii="Times New Roman" w:hAnsi="Times New Roman"/>
          <w:shd w:val="clear" w:color="auto" w:fill="FFFFFF"/>
          <w:lang w:val="de-DE"/>
        </w:rPr>
        <w:t xml:space="preserve">đấu tranh xử lý tội phạm, vi phạm pháp luật các cơ sở gây ô nhiễm, khu vực, địa điểm ô nhiễm môi trường nghiêm trọng; vi phạm pháp luật trong hoạt động khai thác, vận chuyển, tàng trữ, tiêu thụ trái phép cát, sỏi; </w:t>
      </w:r>
      <w:r>
        <w:rPr>
          <w:rFonts w:ascii="Times New Roman" w:hAnsi="Times New Roman"/>
          <w:lang w:val="de-DE"/>
        </w:rPr>
        <w:t xml:space="preserve">vi phạm pháp luật về bảo vệ động vật hoang dã, quý hiếm; bắt 139 vụ, 01 tổ chức, 151 cá nhân phạm tội và vi phạm pháp luật về bảo vệ môi trường </w:t>
      </w:r>
      <w:r>
        <w:rPr>
          <w:rFonts w:ascii="Times New Roman" w:hAnsi="Times New Roman"/>
          <w:i/>
          <w:lang w:val="de-DE"/>
        </w:rPr>
        <w:t>(giảm 71 vụ = 33,8% so với cùng kỳ năm 2024)</w:t>
      </w:r>
      <w:r>
        <w:rPr>
          <w:rFonts w:ascii="Times New Roman" w:hAnsi="Times New Roman"/>
          <w:lang w:val="de-DE"/>
        </w:rPr>
        <w:t xml:space="preserve">, trong đó khởi tố 03 vụ, 06 bị can, thu giữ: </w:t>
      </w:r>
      <w:r>
        <w:rPr>
          <w:rFonts w:ascii="Times New Roman" w:hAnsi="Times New Roman"/>
          <w:color w:val="000000"/>
          <w:lang w:val="de-DE"/>
        </w:rPr>
        <w:t>851 cá thể động vật, hơn 3 tấn nội tạng động vật; 17,66m</w:t>
      </w:r>
      <w:r>
        <w:rPr>
          <w:rFonts w:ascii="Times New Roman" w:hAnsi="Times New Roman"/>
          <w:color w:val="000000"/>
          <w:vertAlign w:val="superscript"/>
          <w:lang w:val="de-DE"/>
        </w:rPr>
        <w:t>3</w:t>
      </w:r>
      <w:r>
        <w:rPr>
          <w:rFonts w:ascii="Times New Roman" w:hAnsi="Times New Roman"/>
          <w:color w:val="000000"/>
          <w:lang w:val="de-DE"/>
        </w:rPr>
        <w:t xml:space="preserve"> gỗ, 232m</w:t>
      </w:r>
      <w:r>
        <w:rPr>
          <w:rFonts w:ascii="Times New Roman" w:hAnsi="Times New Roman"/>
          <w:color w:val="000000"/>
          <w:vertAlign w:val="superscript"/>
          <w:lang w:val="de-DE"/>
        </w:rPr>
        <w:t>3</w:t>
      </w:r>
      <w:r>
        <w:rPr>
          <w:rFonts w:ascii="Times New Roman" w:hAnsi="Times New Roman"/>
          <w:color w:val="000000"/>
          <w:lang w:val="de-DE"/>
        </w:rPr>
        <w:t xml:space="preserve"> đất cát sỏi</w:t>
      </w:r>
      <w:r>
        <w:rPr>
          <w:rFonts w:ascii="Times New Roman" w:hAnsi="Times New Roman"/>
          <w:lang w:val="de-DE"/>
        </w:rPr>
        <w:t>.</w:t>
      </w:r>
    </w:p>
    <w:p>
      <w:pPr>
        <w:widowControl w:val="0"/>
        <w:tabs>
          <w:tab w:val="left" w:pos="284"/>
          <w:tab w:val="left" w:pos="993"/>
        </w:tabs>
        <w:spacing w:before="100"/>
        <w:ind w:firstLine="720"/>
        <w:jc w:val="both"/>
        <w:rPr>
          <w:rFonts w:ascii="Times New Roman" w:hAnsi="Times New Roman"/>
          <w:spacing w:val="-1"/>
          <w:lang w:val="de-DE"/>
        </w:rPr>
      </w:pPr>
      <w:r>
        <w:rPr>
          <w:rFonts w:ascii="Times New Roman" w:hAnsi="Times New Roman"/>
          <w:lang w:val="de-DE"/>
        </w:rPr>
        <w:t>- Huy động các nguồn lực, triển khai thực hiện c</w:t>
      </w:r>
      <w:r>
        <w:rPr>
          <w:rFonts w:ascii="Times New Roman" w:hAnsi="Times New Roman"/>
          <w:shd w:val="clear" w:color="auto" w:fill="FFFFFF"/>
          <w:lang w:val="de-DE"/>
        </w:rPr>
        <w:t>ao điểm tổng rà soát, phát hiện, thống kê, quản lý người nghiện ma túy, người sử dụng trái phép chất ma túy, người bị quản lý sau cai nghiện ma túy và đấu tranh, triệt xóa điểm, tụ điểm phức tạp về ma túy; b</w:t>
      </w:r>
      <w:r>
        <w:rPr>
          <w:rFonts w:ascii="Times New Roman" w:hAnsi="Times New Roman"/>
          <w:lang w:val="de-DE"/>
        </w:rPr>
        <w:t>ắt, khởi tố 62</w:t>
      </w:r>
      <w:r>
        <w:rPr>
          <w:rFonts w:ascii="Times New Roman" w:hAnsi="Times New Roman"/>
          <w:lang w:val="vi-VN"/>
        </w:rPr>
        <w:t xml:space="preserve"> </w:t>
      </w:r>
      <w:r>
        <w:rPr>
          <w:rFonts w:ascii="Times New Roman" w:hAnsi="Times New Roman"/>
          <w:lang w:val="de-DE"/>
        </w:rPr>
        <w:t>vụ, 117</w:t>
      </w:r>
      <w:r>
        <w:rPr>
          <w:rFonts w:ascii="Times New Roman" w:hAnsi="Times New Roman"/>
          <w:lang w:val="vi-VN"/>
        </w:rPr>
        <w:t xml:space="preserve"> </w:t>
      </w:r>
      <w:r>
        <w:rPr>
          <w:rFonts w:ascii="Times New Roman" w:hAnsi="Times New Roman"/>
          <w:lang w:val="de-DE"/>
        </w:rPr>
        <w:t>đối tượng</w:t>
      </w:r>
      <w:r>
        <w:rPr>
          <w:rFonts w:ascii="Times New Roman" w:hAnsi="Times New Roman"/>
          <w:lang w:val="vi-VN"/>
        </w:rPr>
        <w:t xml:space="preserve"> </w:t>
      </w:r>
      <w:r>
        <w:rPr>
          <w:rFonts w:ascii="Times New Roman" w:hAnsi="Times New Roman"/>
          <w:lang w:val="de-DE"/>
        </w:rPr>
        <w:t xml:space="preserve">mua bán, tàng trữ, vận chuyển, </w:t>
      </w:r>
      <w:r>
        <w:rPr>
          <w:rFonts w:ascii="Times New Roman" w:hAnsi="Times New Roman"/>
          <w:lang w:val="vi-VN"/>
        </w:rPr>
        <w:t>tổ chức sử dụng</w:t>
      </w:r>
      <w:r>
        <w:rPr>
          <w:rFonts w:ascii="Times New Roman" w:hAnsi="Times New Roman"/>
          <w:lang w:val="de-DE"/>
        </w:rPr>
        <w:t xml:space="preserve"> trái phép chất ma </w:t>
      </w:r>
      <w:r>
        <w:rPr>
          <w:rFonts w:ascii="Times New Roman" w:hAnsi="Times New Roman"/>
          <w:lang w:val="vi-VN"/>
        </w:rPr>
        <w:t>túy</w:t>
      </w:r>
      <w:r>
        <w:rPr>
          <w:rFonts w:ascii="Times New Roman" w:hAnsi="Times New Roman"/>
          <w:lang w:val="de-DE"/>
        </w:rPr>
        <w:t xml:space="preserve"> </w:t>
      </w:r>
      <w:r>
        <w:rPr>
          <w:rFonts w:ascii="Times New Roman" w:hAnsi="Times New Roman"/>
          <w:i/>
          <w:lang w:val="de-DE"/>
        </w:rPr>
        <w:t>(giảm 21 vụ = 25,3% so với cùng kỳ năm 2024)</w:t>
      </w:r>
      <w:r>
        <w:rPr>
          <w:rFonts w:ascii="Times New Roman" w:hAnsi="Times New Roman"/>
          <w:lang w:val="de-DE"/>
        </w:rPr>
        <w:t xml:space="preserve">, thu giữ: 26kg cỏ mỹ, gần 6.000 viên hồng phiến, </w:t>
      </w:r>
      <w:r>
        <w:rPr>
          <w:rFonts w:ascii="Times New Roman" w:hAnsi="Times New Roman"/>
          <w:lang w:val="vi-VN"/>
        </w:rPr>
        <w:t xml:space="preserve">6,27kg cần sa, 527g ma túy tổng hợp, 335g heroine; </w:t>
      </w:r>
      <w:r>
        <w:rPr>
          <w:rFonts w:ascii="Times New Roman" w:hAnsi="Times New Roman"/>
          <w:lang w:val="de-DE"/>
        </w:rPr>
        <w:t xml:space="preserve">xử lý </w:t>
      </w:r>
      <w:r>
        <w:rPr>
          <w:rFonts w:ascii="Times New Roman" w:hAnsi="Times New Roman"/>
          <w:lang w:val="vi-VN"/>
        </w:rPr>
        <w:t>205</w:t>
      </w:r>
      <w:r>
        <w:rPr>
          <w:rFonts w:ascii="Times New Roman" w:hAnsi="Times New Roman"/>
          <w:lang w:val="de-DE"/>
        </w:rPr>
        <w:t xml:space="preserve"> vụ, </w:t>
      </w:r>
      <w:r>
        <w:rPr>
          <w:rFonts w:ascii="Times New Roman" w:hAnsi="Times New Roman"/>
          <w:lang w:val="vi-VN"/>
        </w:rPr>
        <w:t>228</w:t>
      </w:r>
      <w:r>
        <w:rPr>
          <w:rFonts w:ascii="Times New Roman" w:hAnsi="Times New Roman"/>
          <w:lang w:val="de-DE"/>
        </w:rPr>
        <w:t xml:space="preserve"> đối tượng</w:t>
      </w:r>
      <w:r>
        <w:rPr>
          <w:rFonts w:ascii="Times New Roman" w:hAnsi="Times New Roman"/>
          <w:lang w:val="vi-VN"/>
        </w:rPr>
        <w:t xml:space="preserve"> tàng trữ,</w:t>
      </w:r>
      <w:r>
        <w:rPr>
          <w:rFonts w:ascii="Times New Roman" w:hAnsi="Times New Roman"/>
          <w:lang w:val="de-DE"/>
        </w:rPr>
        <w:t xml:space="preserve"> sử dụng trái phép chất ma túy.</w:t>
      </w:r>
    </w:p>
    <w:p>
      <w:pPr>
        <w:widowControl w:val="0"/>
        <w:spacing w:before="100"/>
        <w:ind w:firstLine="720"/>
        <w:jc w:val="both"/>
        <w:rPr>
          <w:rFonts w:ascii="Times New Roman" w:hAnsi="Times New Roman"/>
          <w:lang w:val="de-DE"/>
        </w:rPr>
      </w:pPr>
      <w:r>
        <w:rPr>
          <w:rFonts w:ascii="Times New Roman" w:hAnsi="Times New Roman"/>
          <w:lang w:val="de-DE"/>
        </w:rPr>
        <w:t xml:space="preserve">- Quản lý, giám sát chặt chẽ 1.022 đối tượng chấp hành án hình sự tại </w:t>
      </w:r>
      <w:r>
        <w:rPr>
          <w:rFonts w:ascii="Times New Roman" w:eastAsia="Calibri" w:hAnsi="Times New Roman"/>
          <w:lang w:val="de-DE"/>
        </w:rPr>
        <w:t>nơi cư trú</w:t>
      </w:r>
      <w:r>
        <w:rPr>
          <w:rFonts w:ascii="Times New Roman" w:hAnsi="Times New Roman"/>
          <w:lang w:val="de-DE"/>
        </w:rPr>
        <w:t>, 49</w:t>
      </w:r>
      <w:r>
        <w:rPr>
          <w:rFonts w:ascii="Times New Roman" w:hAnsi="Times New Roman"/>
          <w:b/>
          <w:lang w:val="de-DE"/>
        </w:rPr>
        <w:t xml:space="preserve"> </w:t>
      </w:r>
      <w:r>
        <w:rPr>
          <w:rFonts w:ascii="Times New Roman" w:hAnsi="Times New Roman"/>
          <w:lang w:val="de-DE"/>
        </w:rPr>
        <w:t xml:space="preserve">đối tượng bị kết án phạt tù đang ngoài xã hội, 1.779 đối tượng chấp hành xong án phạt tù tái hòa nhập cộng đồng </w:t>
      </w:r>
      <w:r>
        <w:rPr>
          <w:rFonts w:ascii="Times New Roman" w:hAnsi="Times New Roman"/>
          <w:i/>
          <w:lang w:val="de-DE"/>
        </w:rPr>
        <w:t>(tỷ lệ tái phạm tội thấp ở đối tượng tái hòa nhập cộng đồng 14/1.930 = 0,73%)</w:t>
      </w:r>
      <w:r>
        <w:rPr>
          <w:rFonts w:ascii="Times New Roman" w:hAnsi="Times New Roman"/>
          <w:lang w:val="de-DE"/>
        </w:rPr>
        <w:t>.</w:t>
      </w:r>
      <w:r>
        <w:rPr>
          <w:rFonts w:ascii="Times New Roman" w:hAnsi="Times New Roman"/>
          <w:bCs/>
          <w:i/>
          <w:lang w:val="de-DE"/>
        </w:rPr>
        <w:t xml:space="preserve"> </w:t>
      </w:r>
      <w:r>
        <w:rPr>
          <w:rFonts w:ascii="Times New Roman" w:hAnsi="Times New Roman"/>
          <w:lang w:val="de-DE"/>
        </w:rPr>
        <w:t>Bắt, vận động đầu thú 03 đối tượng đối tượng truy nã. Lập hồ sơ đưa 44 đối tượng vào cơ sở cai nghiện bắt buộc; 20 đối tượng vào diện giáo dục tại xã, phường, thị trấn</w:t>
      </w:r>
      <w:r>
        <w:rPr>
          <w:rFonts w:ascii="Times New Roman" w:hAnsi="Times New Roman"/>
          <w:lang w:val="vi-VN"/>
        </w:rPr>
        <w:t>.</w:t>
      </w:r>
    </w:p>
    <w:p>
      <w:pPr>
        <w:widowControl w:val="0"/>
        <w:spacing w:before="100"/>
        <w:ind w:firstLine="709"/>
        <w:jc w:val="both"/>
        <w:rPr>
          <w:rFonts w:ascii="Times New Roman" w:hAnsi="Times New Roman"/>
          <w:lang w:val="de-DE"/>
        </w:rPr>
      </w:pPr>
      <w:r>
        <w:rPr>
          <w:rFonts w:ascii="Times New Roman" w:hAnsi="Times New Roman"/>
          <w:lang w:val="de-DE"/>
        </w:rPr>
        <w:t xml:space="preserve">- Tiếp nhận, giải quyết </w:t>
      </w:r>
      <w:r>
        <w:rPr>
          <w:rFonts w:ascii="Times New Roman" w:hAnsi="Times New Roman"/>
          <w:color w:val="000000"/>
          <w:lang w:val="de-DE"/>
        </w:rPr>
        <w:t xml:space="preserve">624 </w:t>
      </w:r>
      <w:r>
        <w:rPr>
          <w:rFonts w:ascii="Times New Roman" w:hAnsi="Times New Roman"/>
          <w:color w:val="000000"/>
          <w:lang w:val="vi-VN"/>
        </w:rPr>
        <w:t xml:space="preserve">tố giác, tin báo tội phạm, kiến nghị khởi tố, trong đó tiếp nhận mới </w:t>
      </w:r>
      <w:r>
        <w:rPr>
          <w:rFonts w:ascii="Times New Roman" w:hAnsi="Times New Roman"/>
          <w:color w:val="000000"/>
          <w:lang w:val="de-DE"/>
        </w:rPr>
        <w:t>511</w:t>
      </w:r>
      <w:r>
        <w:rPr>
          <w:rFonts w:ascii="Times New Roman" w:hAnsi="Times New Roman"/>
          <w:color w:val="000000"/>
          <w:lang w:val="vi-VN"/>
        </w:rPr>
        <w:t xml:space="preserve"> tin; đã giải quyết là </w:t>
      </w:r>
      <w:r>
        <w:rPr>
          <w:rFonts w:ascii="Times New Roman" w:hAnsi="Times New Roman"/>
          <w:color w:val="000000"/>
          <w:lang w:val="de-DE"/>
        </w:rPr>
        <w:t>497/624 t</w:t>
      </w:r>
      <w:r>
        <w:rPr>
          <w:rFonts w:ascii="Times New Roman" w:hAnsi="Times New Roman"/>
          <w:color w:val="000000"/>
          <w:lang w:val="vi-VN"/>
        </w:rPr>
        <w:t xml:space="preserve">in </w:t>
      </w:r>
      <w:r>
        <w:rPr>
          <w:rFonts w:ascii="Times New Roman" w:hAnsi="Times New Roman"/>
          <w:i/>
          <w:color w:val="000000"/>
          <w:lang w:val="vi-VN"/>
        </w:rPr>
        <w:t xml:space="preserve">(đạt tỷ lệ </w:t>
      </w:r>
      <w:r>
        <w:rPr>
          <w:rFonts w:ascii="Times New Roman" w:hAnsi="Times New Roman"/>
          <w:i/>
          <w:color w:val="000000"/>
          <w:lang w:val="de-DE"/>
        </w:rPr>
        <w:t>79,6</w:t>
      </w:r>
      <w:r>
        <w:rPr>
          <w:rFonts w:ascii="Times New Roman" w:hAnsi="Times New Roman"/>
          <w:i/>
          <w:color w:val="000000"/>
          <w:lang w:val="vi-VN"/>
        </w:rPr>
        <w:t>%)</w:t>
      </w:r>
      <w:r>
        <w:rPr>
          <w:rFonts w:ascii="Times New Roman" w:hAnsi="Times New Roman"/>
          <w:lang w:val="de-DE"/>
        </w:rPr>
        <w:t xml:space="preserve">. </w:t>
      </w:r>
      <w:r>
        <w:rPr>
          <w:rFonts w:ascii="Times New Roman" w:eastAsia="SimSun" w:hAnsi="Times New Roman"/>
          <w:bCs/>
          <w:iCs/>
          <w:color w:val="000000"/>
          <w:lang w:val="de-DE" w:eastAsia="vi-VN"/>
        </w:rPr>
        <w:t xml:space="preserve">Khởi tố điều tra </w:t>
      </w:r>
      <w:r>
        <w:rPr>
          <w:rFonts w:ascii="Times New Roman" w:hAnsi="Times New Roman"/>
          <w:color w:val="000000"/>
          <w:lang w:val="de-DE"/>
        </w:rPr>
        <w:t>375</w:t>
      </w:r>
      <w:r>
        <w:rPr>
          <w:rFonts w:ascii="Times New Roman" w:eastAsia="SimSun" w:hAnsi="Times New Roman"/>
          <w:bCs/>
          <w:iCs/>
          <w:color w:val="000000"/>
          <w:lang w:val="de-DE" w:eastAsia="vi-VN"/>
        </w:rPr>
        <w:t xml:space="preserve"> </w:t>
      </w:r>
      <w:r>
        <w:rPr>
          <w:rFonts w:ascii="Times New Roman" w:hAnsi="Times New Roman"/>
          <w:color w:val="000000"/>
          <w:lang w:val="de-DE"/>
        </w:rPr>
        <w:t>vụ, 759 bị can</w:t>
      </w:r>
      <w:r>
        <w:rPr>
          <w:rFonts w:ascii="Times New Roman" w:hAnsi="Times New Roman"/>
          <w:lang w:val="de-DE"/>
        </w:rPr>
        <w:t xml:space="preserve">; </w:t>
      </w:r>
      <w:r>
        <w:rPr>
          <w:rFonts w:ascii="Times New Roman" w:hAnsi="Times New Roman"/>
          <w:color w:val="000000"/>
          <w:lang w:val="de-DE"/>
        </w:rPr>
        <w:t>kết thúc điều tra,</w:t>
      </w:r>
      <w:r>
        <w:rPr>
          <w:rFonts w:ascii="Times New Roman" w:hAnsi="Times New Roman"/>
          <w:color w:val="000000"/>
          <w:lang w:val="vi-VN"/>
        </w:rPr>
        <w:t xml:space="preserve"> chuyển Viện Kiểm sát</w:t>
      </w:r>
      <w:r>
        <w:rPr>
          <w:rFonts w:ascii="Times New Roman" w:hAnsi="Times New Roman"/>
          <w:color w:val="000000"/>
          <w:lang w:val="de-DE"/>
        </w:rPr>
        <w:t xml:space="preserve"> đề nghị truy tố 315 vụ, 650 bị can</w:t>
      </w:r>
      <w:r>
        <w:rPr>
          <w:rFonts w:ascii="Times New Roman" w:hAnsi="Times New Roman"/>
          <w:lang w:val="de-DE"/>
        </w:rPr>
        <w:t>. Chấp hành nghiêm các quy định của pháp luật về tiếp nhận, theo dõi, giải quyết tin báo và các quy định về hoạt động điều tra tố tụng, không để xảy ra tình trạng oan, sai; hạn chế việc trả hồ sơ để điều tra lại, điều tra bổ sung.</w:t>
      </w:r>
    </w:p>
    <w:p>
      <w:pPr>
        <w:widowControl w:val="0"/>
        <w:spacing w:before="100"/>
        <w:ind w:firstLine="709"/>
        <w:jc w:val="both"/>
        <w:rPr>
          <w:rFonts w:ascii="Times New Roman" w:hAnsi="Times New Roman"/>
          <w:b/>
          <w:i/>
          <w:lang w:val="vi-VN"/>
        </w:rPr>
      </w:pPr>
      <w:r>
        <w:rPr>
          <w:rFonts w:ascii="Times New Roman" w:hAnsi="Times New Roman"/>
          <w:b/>
          <w:i/>
          <w:lang w:val="de-DE"/>
        </w:rPr>
        <w:t>3.3. Trên lĩnh vực bảo đảm trật tự an toàn xã hội</w:t>
      </w:r>
    </w:p>
    <w:p>
      <w:pPr>
        <w:widowControl w:val="0"/>
        <w:tabs>
          <w:tab w:val="left" w:pos="284"/>
          <w:tab w:val="left" w:pos="993"/>
        </w:tabs>
        <w:spacing w:before="100"/>
        <w:ind w:firstLine="720"/>
        <w:jc w:val="both"/>
        <w:rPr>
          <w:rFonts w:ascii="Times New Roman" w:hAnsi="Times New Roman"/>
          <w:lang w:val="es-PE"/>
        </w:rPr>
      </w:pPr>
      <w:r>
        <w:rPr>
          <w:rFonts w:ascii="Times New Roman" w:hAnsi="Times New Roman"/>
          <w:lang w:val="es-PE"/>
        </w:rPr>
        <w:t xml:space="preserve">- Quản lý chặt chẽ các cơ sở ngành, nghề kinh doanh có điều kiện về ANTT; kiểm tra </w:t>
      </w:r>
      <w:r>
        <w:rPr>
          <w:rFonts w:ascii="Times New Roman" w:hAnsi="Times New Roman"/>
          <w:lang w:val="vi-VN"/>
        </w:rPr>
        <w:t>491 cơ sở, phát hiện 09 cơ sở vi phạm</w:t>
      </w:r>
      <w:r>
        <w:rPr>
          <w:rFonts w:ascii="Times New Roman" w:hAnsi="Times New Roman"/>
        </w:rPr>
        <w:t>,</w:t>
      </w:r>
      <w:r>
        <w:rPr>
          <w:rFonts w:ascii="Times New Roman" w:hAnsi="Times New Roman"/>
          <w:lang w:val="vi-VN"/>
        </w:rPr>
        <w:t xml:space="preserve"> phạt tiền 32,5 triệu đồng</w:t>
      </w:r>
      <w:r>
        <w:rPr>
          <w:rFonts w:ascii="Times New Roman" w:hAnsi="Times New Roman"/>
          <w:lang w:val="es-PE"/>
        </w:rPr>
        <w:t>. Phát hiện, bắt giữ, xử lý 03 vụ, 12 đối tượng lợi dụng cơ sở ngành, nghề kinh doanh có điều kiện để hoạt động tội phạm, vi phạm pháp luật. Tăng cường phòng ngừa, đấu tranh với tội phạm, vi phạm pháp luật liên quan vũ khí, vật liệu nổ, công cụ hỗ trợ và pháo; bắt giữ, xử lý 63 vụ, 75 đối tượng; thu giữ 585 kg pháo, 233 quả pháo tự chế, 03 khẩu súng các loại, 1.500 viên đạn. Tổ chức tuyên truyền, vận động công dân giao nộp 296 khẩu súng các loại, 137 vũ khí thô sơ, 02 linh kiện súng, 18 quả lựu đạn, 8,35kg thuốc nổ, 1.167 viên đạn, 79,7kg pháo, 2.878 quả pháo, 75,6kg thuốc pháo, 11,5kg tiền chất thuốc pháo.</w:t>
      </w:r>
    </w:p>
    <w:p>
      <w:pPr>
        <w:widowControl w:val="0"/>
        <w:tabs>
          <w:tab w:val="left" w:pos="284"/>
          <w:tab w:val="left" w:pos="993"/>
        </w:tabs>
        <w:spacing w:before="100"/>
        <w:ind w:firstLine="720"/>
        <w:jc w:val="both"/>
        <w:rPr>
          <w:rFonts w:ascii="Times New Roman" w:hAnsi="Times New Roman"/>
          <w:lang w:val="es-PE"/>
        </w:rPr>
      </w:pPr>
      <w:r>
        <w:rPr>
          <w:rFonts w:ascii="Times New Roman" w:hAnsi="Times New Roman"/>
          <w:lang w:val="es-PE"/>
        </w:rPr>
        <w:t>- Tiếp tục thực hiện Chỉ thị số 19/CT-TTg ngày 24/6/2024 của Thủ tướng Chính phủ và thực hiện mục tiêu giảm 10% các vụ cháy lớn gây thiệt hại nghiêm trọng về người và tài sản. Đẩy mạnh tuyên truyền, hướng dẫn công tác phòng cháy, chữa cháy và cứu nạn, cứu hộ tại 1</w:t>
      </w:r>
      <w:r>
        <w:rPr>
          <w:rFonts w:ascii="Times New Roman" w:hAnsi="Times New Roman"/>
          <w:lang w:val="vi-VN"/>
        </w:rPr>
        <w:t>.247</w:t>
      </w:r>
      <w:r>
        <w:rPr>
          <w:rFonts w:ascii="Times New Roman" w:hAnsi="Times New Roman"/>
          <w:lang w:val="es-PE"/>
        </w:rPr>
        <w:t xml:space="preserve"> cơ sở, kịp thời phát hiện, kiến nghị và hướng dẫn các cơ sở khắc phục thiếu sót, tồn tại trong công tác đảm bảo an toàn phòng cháy, chữa cháy; phát hiện xử lý 32 trường hợp vi phạm, phạt tiền gần 480 triệu đồng, tạm đình chỉ 02 cơ sở.</w:t>
      </w:r>
    </w:p>
    <w:p>
      <w:pPr>
        <w:widowControl w:val="0"/>
        <w:spacing w:before="100"/>
        <w:ind w:firstLine="720"/>
        <w:jc w:val="both"/>
        <w:rPr>
          <w:rFonts w:ascii="Times New Roman" w:hAnsi="Times New Roman"/>
          <w:lang w:val="eu-ES"/>
        </w:rPr>
      </w:pPr>
      <w:r>
        <w:rPr>
          <w:rFonts w:ascii="Times New Roman" w:hAnsi="Times New Roman"/>
          <w:lang w:val="eu-ES"/>
        </w:rPr>
        <w:t xml:space="preserve"> </w:t>
      </w:r>
      <w:r>
        <w:rPr>
          <w:rFonts w:ascii="Times New Roman" w:hAnsi="Times New Roman"/>
          <w:lang w:val="de-DE"/>
        </w:rPr>
        <w:t>- Chỉ đạo lực lượng Công an t</w:t>
      </w:r>
      <w:r>
        <w:rPr>
          <w:rFonts w:ascii="Times New Roman" w:hAnsi="Times New Roman"/>
          <w:lang w:val="nl-NL"/>
        </w:rPr>
        <w:t xml:space="preserve">iếp tục phối hợp với các sở, ban, ngành, tổ chức đoàn thể </w:t>
      </w:r>
      <w:r>
        <w:rPr>
          <w:rFonts w:ascii="Times New Roman" w:hAnsi="Times New Roman"/>
          <w:lang w:val="eu-ES"/>
        </w:rPr>
        <w:t>đẩy mạnh tuyên truyền, phổ biến giáo dục pháp luật về trật tự an toàn giao thông trên địa bàn toàn tỉnh</w:t>
      </w:r>
      <w:r>
        <w:rPr>
          <w:rFonts w:ascii="Times New Roman" w:hAnsi="Times New Roman"/>
          <w:vertAlign w:val="superscript"/>
        </w:rPr>
        <w:footnoteReference w:id="4"/>
      </w:r>
      <w:r>
        <w:rPr>
          <w:rFonts w:ascii="Times New Roman" w:hAnsi="Times New Roman"/>
          <w:lang w:val="nl-NL"/>
        </w:rPr>
        <w:t xml:space="preserve">; </w:t>
      </w:r>
      <w:r>
        <w:rPr>
          <w:rFonts w:ascii="Times New Roman" w:eastAsia="Calibri" w:hAnsi="Times New Roman"/>
          <w:lang w:val="eu-ES"/>
        </w:rPr>
        <w:t xml:space="preserve">thường xuyên rà soát, nắm tình hình, kịp thời kiến nghị giải quyết các vấn đề bất cập về kết cấu hạ tầng, tổ chức giao thông nhằm giải quyết các điểm tiềm ẩn phức tạp về giao thông; </w:t>
      </w:r>
      <w:r>
        <w:rPr>
          <w:rFonts w:ascii="Times New Roman" w:hAnsi="Times New Roman"/>
          <w:lang w:val="nl-NL"/>
        </w:rPr>
        <w:t>d</w:t>
      </w:r>
      <w:r>
        <w:rPr>
          <w:rFonts w:ascii="Times New Roman" w:hAnsi="Times New Roman"/>
          <w:lang w:val="eu-ES"/>
        </w:rPr>
        <w:t xml:space="preserve">uy trì công tác </w:t>
      </w:r>
      <w:r>
        <w:rPr>
          <w:rFonts w:ascii="Times New Roman" w:hAnsi="Times New Roman"/>
          <w:lang w:val="pt-BR"/>
        </w:rPr>
        <w:t>tuần tra kiểm soát, xử lý vi phạm pháp luật trên các tuyến giao thông; l</w:t>
      </w:r>
      <w:r>
        <w:rPr>
          <w:rFonts w:ascii="Times New Roman" w:hAnsi="Times New Roman"/>
          <w:lang w:val="eu-ES"/>
        </w:rPr>
        <w:t xml:space="preserve">ập biên bản xử lý </w:t>
      </w:r>
      <w:r>
        <w:rPr>
          <w:rFonts w:ascii="Times New Roman" w:hAnsi="Times New Roman"/>
          <w:lang w:val="it-IT"/>
        </w:rPr>
        <w:t>11.323</w:t>
      </w:r>
      <w:r>
        <w:rPr>
          <w:rFonts w:ascii="Times New Roman" w:hAnsi="Times New Roman"/>
          <w:lang w:val="eu-ES"/>
        </w:rPr>
        <w:t xml:space="preserve"> trường hợp vi phạm</w:t>
      </w:r>
      <w:r>
        <w:rPr>
          <w:rFonts w:ascii="Times New Roman" w:hAnsi="Times New Roman"/>
          <w:vertAlign w:val="superscript"/>
          <w:lang w:val="nl-NL"/>
        </w:rPr>
        <w:footnoteReference w:id="5"/>
      </w:r>
      <w:r>
        <w:rPr>
          <w:rFonts w:ascii="Times New Roman" w:hAnsi="Times New Roman"/>
          <w:lang w:val="nl-NL"/>
        </w:rPr>
        <w:t>, phạt tiền gần 20</w:t>
      </w:r>
      <w:r>
        <w:rPr>
          <w:rFonts w:ascii="Times New Roman" w:hAnsi="Times New Roman"/>
          <w:lang w:val="vi-VN"/>
        </w:rPr>
        <w:t>,8</w:t>
      </w:r>
      <w:r>
        <w:rPr>
          <w:rFonts w:ascii="Times New Roman" w:hAnsi="Times New Roman"/>
          <w:lang w:val="nl-NL"/>
        </w:rPr>
        <w:t xml:space="preserve"> tỷ đồng, tước 680 giấy phép lái xe, trừ điểm giấy phép lái xe 1.814 trường hợp, tạm giữ </w:t>
      </w:r>
      <w:r>
        <w:rPr>
          <w:rFonts w:ascii="Times New Roman" w:hAnsi="Times New Roman"/>
          <w:bCs/>
          <w:lang w:val="nl-NL"/>
        </w:rPr>
        <w:t>1.566 mô tô, 58 ô tô và 80 phương tiện khác</w:t>
      </w:r>
      <w:r>
        <w:rPr>
          <w:rFonts w:ascii="Times New Roman" w:hAnsi="Times New Roman"/>
          <w:lang w:val="nl-NL"/>
        </w:rPr>
        <w:t>.</w:t>
      </w:r>
      <w:r>
        <w:rPr>
          <w:rFonts w:ascii="Times New Roman" w:hAnsi="Times New Roman"/>
          <w:lang w:val="eu-ES"/>
        </w:rPr>
        <w:t xml:space="preserve"> </w:t>
      </w:r>
      <w:r>
        <w:rPr>
          <w:rFonts w:ascii="Times New Roman" w:hAnsi="Times New Roman"/>
          <w:lang w:val="nl-NL"/>
        </w:rPr>
        <w:t xml:space="preserve">Đăng ký mới </w:t>
      </w:r>
      <w:r>
        <w:rPr>
          <w:rFonts w:ascii="Times New Roman" w:hAnsi="Times New Roman"/>
          <w:lang w:val="vi-VN"/>
        </w:rPr>
        <w:t xml:space="preserve">4.510 </w:t>
      </w:r>
      <w:r>
        <w:rPr>
          <w:rFonts w:ascii="Times New Roman" w:hAnsi="Times New Roman"/>
          <w:lang w:val="nl-NL"/>
        </w:rPr>
        <w:t xml:space="preserve">ô tô, </w:t>
      </w:r>
      <w:r>
        <w:rPr>
          <w:rFonts w:ascii="Times New Roman" w:hAnsi="Times New Roman"/>
          <w:lang w:val="vi-VN"/>
        </w:rPr>
        <w:t>15.669</w:t>
      </w:r>
      <w:r>
        <w:rPr>
          <w:rFonts w:ascii="Times New Roman" w:hAnsi="Times New Roman"/>
          <w:lang w:val="nl-NL"/>
        </w:rPr>
        <w:t xml:space="preserve"> mô tô, xe điện.</w:t>
      </w:r>
    </w:p>
    <w:p>
      <w:pPr>
        <w:widowControl w:val="0"/>
        <w:spacing w:before="100"/>
        <w:ind w:firstLine="709"/>
        <w:jc w:val="both"/>
        <w:rPr>
          <w:rFonts w:ascii="Times New Roman" w:hAnsi="Times New Roman"/>
          <w:b/>
          <w:i/>
          <w:lang w:val="eu-ES"/>
        </w:rPr>
      </w:pPr>
      <w:r>
        <w:rPr>
          <w:rFonts w:ascii="Times New Roman" w:hAnsi="Times New Roman"/>
          <w:b/>
          <w:i/>
          <w:lang w:val="eu-ES"/>
        </w:rPr>
        <w:t>3.4. Công tác xử lý vi phạm hành chính</w:t>
      </w:r>
    </w:p>
    <w:p>
      <w:pPr>
        <w:widowControl w:val="0"/>
        <w:spacing w:before="100"/>
        <w:ind w:firstLine="709"/>
        <w:jc w:val="both"/>
        <w:rPr>
          <w:rFonts w:ascii="Times New Roman" w:hAnsi="Times New Roman"/>
          <w:lang w:val="eu-ES"/>
        </w:rPr>
      </w:pPr>
      <w:r>
        <w:rPr>
          <w:rFonts w:ascii="Times New Roman" w:hAnsi="Times New Roman"/>
          <w:lang w:val="eu-ES"/>
        </w:rPr>
        <w:t>Tình hình vi phạm hành chính còn diễn ra ở nhiều địa bàn, lĩnh vực, ngành nghề, tuy vậy số lượng các vụ việc vi phạm được phát hiện, xử lý có chiều hướng giảm so với cùng kỳ năm 2024. Các lĩnh vực tập trung xảy ra nhiều vi phạm như: An toàn giao thông, ANTT, an toàn xã hội, tệ nạn xã hội; phòng cháy, chữa cháy; bảo vệ môi trường; thuế; thương mại… trong 6</w:t>
      </w:r>
      <w:r>
        <w:rPr>
          <w:rFonts w:ascii="Times New Roman" w:hAnsi="Times New Roman"/>
          <w:lang w:val="vi-VN"/>
        </w:rPr>
        <w:t xml:space="preserve"> tháng đầu năm 2025, t</w:t>
      </w:r>
      <w:r>
        <w:rPr>
          <w:rFonts w:ascii="Times New Roman" w:hAnsi="Times New Roman"/>
          <w:lang w:val="eu-ES"/>
        </w:rPr>
        <w:t>oàn tỉnh xử phạt 10</w:t>
      </w:r>
      <w:r>
        <w:rPr>
          <w:rFonts w:ascii="Times New Roman" w:hAnsi="Times New Roman"/>
          <w:lang w:val="vi-VN"/>
        </w:rPr>
        <w:t>.</w:t>
      </w:r>
      <w:r>
        <w:rPr>
          <w:rFonts w:ascii="Times New Roman" w:hAnsi="Times New Roman"/>
          <w:lang w:val="eu-ES"/>
        </w:rPr>
        <w:t>929 vụ</w:t>
      </w:r>
      <w:r>
        <w:rPr>
          <w:rFonts w:ascii="Times New Roman" w:hAnsi="Times New Roman"/>
          <w:lang w:val="vi-VN"/>
        </w:rPr>
        <w:t xml:space="preserve">, </w:t>
      </w:r>
      <w:r>
        <w:rPr>
          <w:rFonts w:ascii="Times New Roman" w:hAnsi="Times New Roman"/>
          <w:lang w:val="eu-ES"/>
        </w:rPr>
        <w:t>305 tổ chức, 11.085</w:t>
      </w:r>
      <w:r>
        <w:rPr>
          <w:rFonts w:ascii="Times New Roman" w:hAnsi="Times New Roman"/>
          <w:lang w:val="vi-VN"/>
        </w:rPr>
        <w:t xml:space="preserve"> đối tượng</w:t>
      </w:r>
      <w:r>
        <w:rPr>
          <w:rFonts w:ascii="Times New Roman" w:hAnsi="Times New Roman"/>
          <w:lang w:val="eu-ES"/>
        </w:rPr>
        <w:t xml:space="preserve">; </w:t>
      </w:r>
      <w:r>
        <w:rPr>
          <w:rFonts w:ascii="Times New Roman" w:hAnsi="Times New Roman"/>
          <w:lang w:val="vi-VN"/>
        </w:rPr>
        <w:t>phạt tiền</w:t>
      </w:r>
      <w:r>
        <w:rPr>
          <w:rFonts w:ascii="Times New Roman" w:hAnsi="Times New Roman"/>
          <w:lang w:val="eu-ES"/>
        </w:rPr>
        <w:t xml:space="preserve"> </w:t>
      </w:r>
      <w:r>
        <w:rPr>
          <w:rFonts w:ascii="Times New Roman" w:hAnsi="Times New Roman"/>
          <w:lang w:val="vi-VN"/>
        </w:rPr>
        <w:t xml:space="preserve">hơn </w:t>
      </w:r>
      <w:r>
        <w:rPr>
          <w:rFonts w:ascii="Times New Roman" w:hAnsi="Times New Roman"/>
          <w:lang w:val="eu-ES"/>
        </w:rPr>
        <w:t>21,1 tỷ đồng.</w:t>
      </w:r>
    </w:p>
    <w:p>
      <w:pPr>
        <w:widowControl w:val="0"/>
        <w:spacing w:before="100"/>
        <w:ind w:firstLine="709"/>
        <w:jc w:val="both"/>
        <w:rPr>
          <w:rFonts w:ascii="Times New Roman" w:hAnsi="Times New Roman"/>
          <w:b/>
          <w:sz w:val="26"/>
          <w:lang w:val="eu-ES"/>
        </w:rPr>
      </w:pPr>
      <w:r>
        <w:rPr>
          <w:rFonts w:ascii="Times New Roman" w:hAnsi="Times New Roman"/>
          <w:b/>
          <w:sz w:val="26"/>
          <w:lang w:val="eu-ES"/>
        </w:rPr>
        <w:t>III. NHẬN XÉT</w:t>
      </w:r>
    </w:p>
    <w:p>
      <w:pPr>
        <w:widowControl w:val="0"/>
        <w:spacing w:before="100"/>
        <w:ind w:firstLine="709"/>
        <w:jc w:val="both"/>
        <w:rPr>
          <w:rFonts w:ascii="Times New Roman" w:hAnsi="Times New Roman"/>
          <w:lang w:val="sv-SE"/>
        </w:rPr>
      </w:pPr>
      <w:r>
        <w:rPr>
          <w:rFonts w:ascii="Times New Roman" w:hAnsi="Times New Roman"/>
          <w:lang w:val="sv-SE"/>
        </w:rPr>
        <w:t>06 tháng đầu năm 202</w:t>
      </w:r>
      <w:r>
        <w:rPr>
          <w:rFonts w:ascii="Times New Roman" w:hAnsi="Times New Roman"/>
          <w:lang w:val="eu-ES"/>
        </w:rPr>
        <w:t>5</w:t>
      </w:r>
      <w:r>
        <w:rPr>
          <w:rFonts w:ascii="Times New Roman" w:hAnsi="Times New Roman"/>
          <w:lang w:val="sv-SE"/>
        </w:rPr>
        <w:t>, công tác phòng, chống tội phạm, vi phạm pháp luật được chính quyền các cấp quan tâm chỉ đạo, triển khai thực hiện nghiêm túc, đạt được nhiều kết quả tích cực đã làm chuyển biến hơn nữa nhận thức, trách nhiệm của cán bộ, đảng viên và các tầng lớp Nhân dân trong công tác phòng ngừa, đấu tranh phòng, chống tội phạm, vi phạm pháp luật, góp phần giữ vững ANTT, an toàn xã hội trên địa bàn tỉnh. Các sở, ban, ngành, đoàn thể, UBND các huyện, thành phố, thị xã đã thực hiện tốt chức năng, nhiệm vụ được giao trong công tác phòng, chống tội phạm, vi phạm pháp luật, trong đó, lực lượng Công an đã làm tốt chức năng thường trực, là lực lượng nòng cốt trong công tác phòng ngừa, đấu tranh chống tội phạm, vi phạm pháp luật.</w:t>
      </w:r>
    </w:p>
    <w:p>
      <w:pPr>
        <w:widowControl w:val="0"/>
        <w:spacing w:before="100"/>
        <w:ind w:firstLine="709"/>
        <w:jc w:val="both"/>
        <w:rPr>
          <w:rFonts w:ascii="Times New Roman" w:hAnsi="Times New Roman"/>
          <w:lang w:val="vi-VN"/>
        </w:rPr>
      </w:pPr>
      <w:r>
        <w:rPr>
          <w:rFonts w:ascii="Times New Roman" w:hAnsi="Times New Roman"/>
          <w:lang w:val="sv-SE"/>
        </w:rPr>
        <w:t>UBND tỉnh đã tập trung chỉ đạo lực lượng Công an, cùng với các cơ quan, đơn vị, ban ngành mở các đợt cao điểm tấn công trấn áp tội phạm theo chuyên đề, triển khai đồng bộ các kế hoạch, biên pháp nghiệp vụ nắm chắc tình hình địa bàn, lĩnh vực, quản lý chặt chẽ hoạt động của các đối tượng; đảm bảo tuyệt đối an toàn các sự kiện chính trị, văn hóa, xã hội, các đoàn lãnh đạo của Đảng, Nhà nước, khách quốc tế thăm và làm việc tại địa phương. Tình hình phạm pháp hình sự được kiềm chế, giảm 5,9% so với cùng kỳ năm 2024, tỷ lệ điều tra khám phá luôn duy trì ở mức cao, tệ nạn xã hội được kiềm chế. Làm tốt công tác quản lý nhà nước về ANTT, công tác đảm bảo trật tự an toàn giao thông, phòng, chống cháy, nổ</w:t>
      </w:r>
      <w:r>
        <w:rPr>
          <w:rFonts w:ascii="Times New Roman" w:hAnsi="Times New Roman"/>
          <w:lang w:val="de-DE"/>
        </w:rPr>
        <w:t xml:space="preserve">. Các cơ quan tiến hành tố tụng chấp hành nghiêm các quy định, quy trình trong hoạt động tố tụng, không để xảy ra oan sai, tiêu cực... góp phần quan trọng giữ vững ổn định chính trị, </w:t>
      </w:r>
      <w:r>
        <w:rPr>
          <w:rFonts w:ascii="Times New Roman" w:hAnsi="Times New Roman"/>
          <w:lang w:val="vi-VN"/>
        </w:rPr>
        <w:t>phát triển</w:t>
      </w:r>
      <w:r>
        <w:rPr>
          <w:rFonts w:ascii="Times New Roman" w:hAnsi="Times New Roman"/>
          <w:lang w:val="de-DE"/>
        </w:rPr>
        <w:t xml:space="preserve"> kinh tế - xã hội trên địa bàn tỉnh. </w:t>
      </w:r>
    </w:p>
    <w:p>
      <w:pPr>
        <w:widowControl w:val="0"/>
        <w:spacing w:before="100"/>
        <w:ind w:firstLine="709"/>
        <w:jc w:val="both"/>
        <w:rPr>
          <w:rFonts w:ascii="Times New Roman" w:hAnsi="Times New Roman"/>
          <w:lang w:val="sv-SE"/>
        </w:rPr>
      </w:pPr>
      <w:r>
        <w:rPr>
          <w:rFonts w:ascii="Times New Roman" w:hAnsi="Times New Roman"/>
          <w:lang w:val="sv-SE"/>
        </w:rPr>
        <w:t>Bên cạnh những kết quả đạt được là cơ bản, tình hình tội phạm, vi phạm pháp luật trên địa bàn tỉnh 06 tháng đầu năm 202</w:t>
      </w:r>
      <w:r>
        <w:rPr>
          <w:rFonts w:ascii="Times New Roman" w:hAnsi="Times New Roman"/>
          <w:lang w:val="vi-VN"/>
        </w:rPr>
        <w:t>5</w:t>
      </w:r>
      <w:r>
        <w:rPr>
          <w:rFonts w:ascii="Times New Roman" w:hAnsi="Times New Roman"/>
          <w:lang w:val="sv-SE"/>
        </w:rPr>
        <w:t xml:space="preserve"> còn một số tồn tại, hạn chế: </w:t>
      </w:r>
      <w:r>
        <w:rPr>
          <w:rFonts w:ascii="Times New Roman" w:hAnsi="Times New Roman"/>
          <w:i/>
          <w:lang w:val="sv-SE"/>
        </w:rPr>
        <w:t>(</w:t>
      </w:r>
      <w:r>
        <w:rPr>
          <w:rFonts w:ascii="Times New Roman" w:hAnsi="Times New Roman"/>
          <w:i/>
          <w:lang w:val="vi-VN"/>
        </w:rPr>
        <w:t>1</w:t>
      </w:r>
      <w:r>
        <w:rPr>
          <w:rFonts w:ascii="Times New Roman" w:hAnsi="Times New Roman"/>
          <w:i/>
          <w:lang w:val="sv-SE"/>
        </w:rPr>
        <w:t>)</w:t>
      </w:r>
      <w:r>
        <w:rPr>
          <w:rFonts w:ascii="Times New Roman" w:hAnsi="Times New Roman"/>
          <w:lang w:val="sv-SE"/>
        </w:rPr>
        <w:t xml:space="preserve"> Sự phối hợp giữa các sở, ngành, địa phương trong thực hiện nhiệm vụ phòng, chống tội phạm, vi phạm pháp luật có lúc, có nơi chưa thật sự tập trung, nhất là trong thời điểm sắp xếp, tinh gọn tổ chức bộ máy hệ thống chính trị;</w:t>
      </w:r>
      <w:r>
        <w:rPr>
          <w:rFonts w:ascii="Times New Roman" w:hAnsi="Times New Roman"/>
          <w:i/>
          <w:lang w:val="sv-SE"/>
        </w:rPr>
        <w:t xml:space="preserve"> (2)</w:t>
      </w:r>
      <w:r>
        <w:rPr>
          <w:rFonts w:ascii="Times New Roman" w:hAnsi="Times New Roman"/>
          <w:lang w:val="sv-SE"/>
        </w:rPr>
        <w:t xml:space="preserve"> Công tác quản lý nhà nước trên không gian mạng </w:t>
      </w:r>
      <w:r>
        <w:rPr>
          <w:rFonts w:ascii="Times New Roman" w:hAnsi="Times New Roman"/>
          <w:lang w:val="vi-VN"/>
        </w:rPr>
        <w:t>chưa chặt chẽ</w:t>
      </w:r>
      <w:r>
        <w:rPr>
          <w:rFonts w:ascii="Times New Roman" w:hAnsi="Times New Roman"/>
          <w:lang w:val="sv-SE"/>
        </w:rPr>
        <w:t xml:space="preserve">; </w:t>
      </w:r>
      <w:r>
        <w:rPr>
          <w:rFonts w:ascii="Times New Roman" w:hAnsi="Times New Roman"/>
          <w:i/>
          <w:lang w:val="sv-SE"/>
        </w:rPr>
        <w:t>(</w:t>
      </w:r>
      <w:r>
        <w:rPr>
          <w:rFonts w:ascii="Times New Roman" w:hAnsi="Times New Roman"/>
          <w:i/>
          <w:lang w:val="vi-VN"/>
        </w:rPr>
        <w:t>3</w:t>
      </w:r>
      <w:r>
        <w:rPr>
          <w:rFonts w:ascii="Times New Roman" w:hAnsi="Times New Roman"/>
          <w:i/>
          <w:lang w:val="sv-SE"/>
        </w:rPr>
        <w:t>)</w:t>
      </w:r>
      <w:r>
        <w:rPr>
          <w:rFonts w:ascii="Times New Roman" w:hAnsi="Times New Roman"/>
          <w:lang w:val="sv-SE"/>
        </w:rPr>
        <w:t xml:space="preserve"> Diễn biến </w:t>
      </w:r>
      <w:r>
        <w:rPr>
          <w:rFonts w:ascii="Times New Roman" w:hAnsi="Times New Roman"/>
          <w:lang w:val="de-DE"/>
        </w:rPr>
        <w:t xml:space="preserve">tội phạm ma túy trên tuyến biên giới và </w:t>
      </w:r>
      <w:r>
        <w:rPr>
          <w:rFonts w:ascii="Times New Roman" w:hAnsi="Times New Roman"/>
          <w:lang w:val="sv-SE"/>
        </w:rPr>
        <w:t xml:space="preserve">các loại tội phạm </w:t>
      </w:r>
      <w:r>
        <w:rPr>
          <w:rFonts w:ascii="Times New Roman" w:hAnsi="Times New Roman"/>
          <w:lang w:val="de-DE"/>
        </w:rPr>
        <w:t>sử dụng công nghệ cao</w:t>
      </w:r>
      <w:r>
        <w:rPr>
          <w:rFonts w:ascii="Times New Roman" w:hAnsi="Times New Roman"/>
          <w:lang w:val="sv-SE"/>
        </w:rPr>
        <w:t>, tội phạm lừa đảo chiếm đoạt tài sản</w:t>
      </w:r>
      <w:r>
        <w:rPr>
          <w:rFonts w:ascii="Times New Roman" w:hAnsi="Times New Roman"/>
          <w:lang w:val="vi-VN"/>
        </w:rPr>
        <w:t xml:space="preserve"> trên không gian mạng</w:t>
      </w:r>
      <w:r>
        <w:rPr>
          <w:rFonts w:ascii="Times New Roman" w:hAnsi="Times New Roman"/>
          <w:lang w:val="de-DE"/>
        </w:rPr>
        <w:t xml:space="preserve"> còn nhiều phức tạp; </w:t>
      </w:r>
      <w:r>
        <w:rPr>
          <w:rFonts w:ascii="Times New Roman" w:hAnsi="Times New Roman"/>
          <w:i/>
          <w:lang w:val="sv-SE"/>
        </w:rPr>
        <w:t>(</w:t>
      </w:r>
      <w:r>
        <w:rPr>
          <w:rFonts w:ascii="Times New Roman" w:hAnsi="Times New Roman"/>
          <w:i/>
          <w:lang w:val="vi-VN"/>
        </w:rPr>
        <w:t>4</w:t>
      </w:r>
      <w:r>
        <w:rPr>
          <w:rFonts w:ascii="Times New Roman" w:hAnsi="Times New Roman"/>
          <w:i/>
          <w:lang w:val="sv-SE"/>
        </w:rPr>
        <w:t>)</w:t>
      </w:r>
      <w:r>
        <w:rPr>
          <w:rFonts w:ascii="Times New Roman" w:hAnsi="Times New Roman"/>
          <w:lang w:val="sv-SE"/>
        </w:rPr>
        <w:t xml:space="preserve"> Hoạt động vi phạm quy định về quản lý, khai thác tài nguyên, khoáng sản, đặc biệt là đất, cát, sỏi phục vụ các dự án còn xảy ra </w:t>
      </w:r>
      <w:r>
        <w:rPr>
          <w:rFonts w:ascii="Times New Roman" w:hAnsi="Times New Roman"/>
          <w:lang w:val="vi-VN"/>
        </w:rPr>
        <w:t>ở một số địa phương</w:t>
      </w:r>
      <w:r>
        <w:rPr>
          <w:rFonts w:ascii="Times New Roman" w:hAnsi="Times New Roman"/>
          <w:lang w:val="sv-SE"/>
        </w:rPr>
        <w:t>.</w:t>
      </w:r>
    </w:p>
    <w:p>
      <w:pPr>
        <w:widowControl w:val="0"/>
        <w:spacing w:before="100"/>
        <w:ind w:firstLine="709"/>
        <w:jc w:val="both"/>
        <w:rPr>
          <w:rFonts w:ascii="Times New Roman" w:hAnsi="Times New Roman"/>
          <w:b/>
          <w:spacing w:val="-12"/>
          <w:sz w:val="26"/>
        </w:rPr>
      </w:pPr>
      <w:r>
        <w:rPr>
          <w:rFonts w:ascii="Times New Roman" w:hAnsi="Times New Roman"/>
          <w:b/>
          <w:spacing w:val="-12"/>
          <w:sz w:val="26"/>
          <w:lang w:val="nl-NL"/>
        </w:rPr>
        <w:t>I</w:t>
      </w:r>
      <w:r>
        <w:rPr>
          <w:rFonts w:ascii="Times New Roman" w:hAnsi="Times New Roman"/>
          <w:b/>
          <w:spacing w:val="-12"/>
          <w:sz w:val="26"/>
          <w:lang w:val="vi-VN"/>
        </w:rPr>
        <w:t>V</w:t>
      </w:r>
      <w:r>
        <w:rPr>
          <w:rFonts w:ascii="Times New Roman" w:hAnsi="Times New Roman"/>
          <w:b/>
          <w:spacing w:val="-12"/>
          <w:sz w:val="26"/>
          <w:lang w:val="nl-NL"/>
        </w:rPr>
        <w:t xml:space="preserve">. </w:t>
      </w:r>
      <w:r>
        <w:rPr>
          <w:rFonts w:ascii="Times New Roman" w:hAnsi="Times New Roman"/>
          <w:b/>
          <w:spacing w:val="-12"/>
          <w:sz w:val="26"/>
          <w:lang w:val="vi-VN"/>
        </w:rPr>
        <w:t>NHIỆM VỤ</w:t>
      </w:r>
      <w:r>
        <w:rPr>
          <w:rFonts w:ascii="Times New Roman" w:hAnsi="Times New Roman"/>
          <w:b/>
          <w:spacing w:val="-12"/>
          <w:sz w:val="26"/>
          <w:lang w:val="sv-SE"/>
        </w:rPr>
        <w:t>, GIẢI PHÁP TRỌNG TÂM 06 THÁNG CUỐI</w:t>
      </w:r>
      <w:r>
        <w:rPr>
          <w:rFonts w:ascii="Times New Roman" w:hAnsi="Times New Roman"/>
          <w:b/>
          <w:spacing w:val="-12"/>
          <w:sz w:val="26"/>
          <w:lang w:val="de-DE"/>
        </w:rPr>
        <w:t xml:space="preserve"> NĂM 20</w:t>
      </w:r>
      <w:r>
        <w:rPr>
          <w:rFonts w:ascii="Times New Roman" w:hAnsi="Times New Roman"/>
          <w:b/>
          <w:spacing w:val="-12"/>
          <w:sz w:val="26"/>
          <w:lang w:val="vi-VN"/>
        </w:rPr>
        <w:t>2</w:t>
      </w:r>
      <w:r>
        <w:rPr>
          <w:rFonts w:ascii="Times New Roman" w:hAnsi="Times New Roman"/>
          <w:b/>
          <w:spacing w:val="-12"/>
          <w:sz w:val="26"/>
        </w:rPr>
        <w:t>5</w:t>
      </w:r>
    </w:p>
    <w:p>
      <w:pPr>
        <w:widowControl w:val="0"/>
        <w:spacing w:before="100"/>
        <w:ind w:firstLine="709"/>
        <w:jc w:val="both"/>
        <w:rPr>
          <w:rFonts w:ascii="Times New Roman" w:eastAsia="Calibri" w:hAnsi="Times New Roman"/>
          <w:lang w:val="de-DE"/>
        </w:rPr>
      </w:pPr>
      <w:r>
        <w:rPr>
          <w:rFonts w:ascii="Times New Roman" w:eastAsia="Calibri" w:hAnsi="Times New Roman"/>
          <w:b/>
          <w:lang w:val="de-DE"/>
        </w:rPr>
        <w:t xml:space="preserve">1. </w:t>
      </w:r>
      <w:r>
        <w:rPr>
          <w:rFonts w:ascii="Times New Roman" w:eastAsia="Calibri" w:hAnsi="Times New Roman"/>
          <w:lang w:val="de-DE"/>
        </w:rPr>
        <w:t xml:space="preserve">Các sở, ban, ngành cấp tỉnh; UBND các xã, phường theo chức năng, nhiệm vụ tiếp tục tổ chức thực hiện đồng bộ, hiệu quả các nhiệm vụ, giải pháp phòng, chống </w:t>
      </w:r>
      <w:r>
        <w:rPr>
          <w:rFonts w:ascii="Times New Roman" w:eastAsia="Calibri" w:hAnsi="Times New Roman"/>
          <w:lang w:val="vi-VN"/>
        </w:rPr>
        <w:t xml:space="preserve">tội phạm và </w:t>
      </w:r>
      <w:r>
        <w:rPr>
          <w:rFonts w:ascii="Times New Roman" w:eastAsia="Calibri" w:hAnsi="Times New Roman"/>
          <w:lang w:val="de-DE"/>
        </w:rPr>
        <w:t xml:space="preserve">vi phạm pháp luật; </w:t>
      </w:r>
      <w:r>
        <w:rPr>
          <w:rFonts w:ascii="Times New Roman" w:eastAsia="Calibri" w:hAnsi="Times New Roman"/>
          <w:lang w:val="vi-VN"/>
        </w:rPr>
        <w:t>c</w:t>
      </w:r>
      <w:r>
        <w:rPr>
          <w:rFonts w:ascii="Times New Roman" w:eastAsia="Calibri" w:hAnsi="Times New Roman"/>
          <w:lang w:val="de-DE"/>
        </w:rPr>
        <w:t>hủ động</w:t>
      </w:r>
      <w:r>
        <w:rPr>
          <w:rFonts w:ascii="Times New Roman" w:eastAsia="Calibri" w:hAnsi="Times New Roman"/>
          <w:lang w:val="vi-VN"/>
        </w:rPr>
        <w:t xml:space="preserve"> nắm chắc tình hình</w:t>
      </w:r>
      <w:r>
        <w:rPr>
          <w:rFonts w:ascii="Times New Roman" w:eastAsia="Calibri" w:hAnsi="Times New Roman"/>
          <w:lang w:val="de-DE"/>
        </w:rPr>
        <w:t xml:space="preserve"> trên các lĩnh vực, tập trung giải quyết ổn </w:t>
      </w:r>
      <w:r>
        <w:rPr>
          <w:rFonts w:ascii="Times New Roman" w:eastAsia="Calibri" w:hAnsi="Times New Roman"/>
          <w:lang w:val="vi-VN"/>
        </w:rPr>
        <w:t>định các</w:t>
      </w:r>
      <w:r>
        <w:rPr>
          <w:rFonts w:ascii="Times New Roman" w:eastAsia="Calibri" w:hAnsi="Times New Roman"/>
          <w:lang w:val="de-DE"/>
        </w:rPr>
        <w:t xml:space="preserve"> vụ việc</w:t>
      </w:r>
      <w:r>
        <w:rPr>
          <w:rFonts w:ascii="Times New Roman" w:eastAsia="Calibri" w:hAnsi="Times New Roman"/>
          <w:lang w:val="vi-VN"/>
        </w:rPr>
        <w:t xml:space="preserve"> tồn đọng, vướng mắc về an </w:t>
      </w:r>
      <w:r>
        <w:rPr>
          <w:rFonts w:ascii="Times New Roman" w:eastAsia="Calibri" w:hAnsi="Times New Roman"/>
          <w:lang w:val="de-DE"/>
        </w:rPr>
        <w:t>s</w:t>
      </w:r>
      <w:r>
        <w:rPr>
          <w:rFonts w:ascii="Times New Roman" w:eastAsia="Calibri" w:hAnsi="Times New Roman"/>
          <w:lang w:val="vi-VN"/>
        </w:rPr>
        <w:t>inh xã hội, nhất là về tôn giáo, khiếu kiện</w:t>
      </w:r>
      <w:r>
        <w:rPr>
          <w:rFonts w:ascii="Times New Roman" w:eastAsia="Calibri" w:hAnsi="Times New Roman"/>
          <w:lang w:val="de-DE"/>
        </w:rPr>
        <w:t xml:space="preserve">, bồi thường, giải phóng mặt bằng... </w:t>
      </w:r>
      <w:r>
        <w:rPr>
          <w:rFonts w:ascii="Times New Roman" w:eastAsia="Calibri" w:hAnsi="Times New Roman"/>
          <w:lang w:val="vi-VN"/>
        </w:rPr>
        <w:t xml:space="preserve">không để kéo dài, hình thành </w:t>
      </w:r>
      <w:r>
        <w:rPr>
          <w:rFonts w:ascii="Times New Roman" w:eastAsia="Calibri" w:hAnsi="Times New Roman"/>
          <w:lang w:val="de-DE"/>
        </w:rPr>
        <w:t>“</w:t>
      </w:r>
      <w:r>
        <w:rPr>
          <w:rFonts w:ascii="Times New Roman" w:eastAsia="Calibri" w:hAnsi="Times New Roman"/>
          <w:lang w:val="vi-VN"/>
        </w:rPr>
        <w:t>điểm nóng</w:t>
      </w:r>
      <w:r>
        <w:rPr>
          <w:rFonts w:ascii="Times New Roman" w:eastAsia="Calibri" w:hAnsi="Times New Roman"/>
          <w:lang w:val="de-DE"/>
        </w:rPr>
        <w:t>”</w:t>
      </w:r>
      <w:r>
        <w:rPr>
          <w:rFonts w:ascii="Times New Roman" w:eastAsia="Calibri" w:hAnsi="Times New Roman"/>
          <w:lang w:val="vi-VN"/>
        </w:rPr>
        <w:t>, nảy sinh các vụ việc phức tạp về ANTT. Người đứng đầu các đơn vị, địa phương chịu trách nhiệm về công tác phòng, chống tội phạm và vi phạm pháp luật, công tác thi hành án trong lĩnh vực thuộc ngành, địa phương quản lý.</w:t>
      </w:r>
    </w:p>
    <w:p>
      <w:pPr>
        <w:widowControl w:val="0"/>
        <w:spacing w:before="100"/>
        <w:ind w:firstLine="709"/>
        <w:jc w:val="both"/>
        <w:rPr>
          <w:rFonts w:ascii="Times New Roman" w:eastAsia="Calibri" w:hAnsi="Times New Roman"/>
          <w:lang w:val="vi-VN"/>
        </w:rPr>
      </w:pPr>
      <w:r>
        <w:rPr>
          <w:rFonts w:ascii="Times New Roman" w:eastAsia="Calibri" w:hAnsi="Times New Roman"/>
          <w:b/>
          <w:lang w:val="de-DE"/>
        </w:rPr>
        <w:t xml:space="preserve">2. </w:t>
      </w:r>
      <w:r>
        <w:rPr>
          <w:rFonts w:ascii="Times New Roman" w:eastAsia="Calibri" w:hAnsi="Times New Roman"/>
          <w:lang w:val="de-DE"/>
        </w:rPr>
        <w:t>Ban Chỉ đạo 138 tỉnh, Ban Chỉ đạo 389 tỉnh thực hiện tốt vai trò chỉ đạo, điều phối trong hoạt động phòng chống tội phạm, phòng chống ma túy, phòng chống mua bán người, tệ nạn xã hội và xây dựng phong trào “bảo vệ an ninh Tổ quốc”; chống buôn lậu, gian lận thương mại và hàng giả. Chỉ đạo thực hiện</w:t>
      </w:r>
      <w:r>
        <w:rPr>
          <w:rFonts w:ascii="Times New Roman" w:hAnsi="Times New Roman"/>
          <w:lang w:val="vi-VN" w:eastAsia="vi-VN" w:bidi="vi-VN"/>
        </w:rPr>
        <w:t xml:space="preserve"> hiệu quả Tháng hành động phòng, chống ma túy”, Ngày Quốc tế phòng, chống ma túy và Ngày Toàn dân phòng, chống ma túy</w:t>
      </w:r>
      <w:r>
        <w:rPr>
          <w:rFonts w:ascii="Times New Roman" w:hAnsi="Times New Roman"/>
          <w:lang w:val="de-DE" w:eastAsia="vi-VN" w:bidi="vi-VN"/>
        </w:rPr>
        <w:t>; “Ngày toàn dân phòng, chống mua bán người” và “Ngày thế giới phòng, chống mua bán người 30/7”</w:t>
      </w:r>
      <w:r>
        <w:rPr>
          <w:rFonts w:ascii="Times New Roman" w:hAnsi="Times New Roman"/>
          <w:lang w:val="vi-VN" w:eastAsia="vi-VN" w:bidi="vi-VN"/>
        </w:rPr>
        <w:t xml:space="preserve">. </w:t>
      </w:r>
      <w:r>
        <w:rPr>
          <w:rFonts w:ascii="Times New Roman" w:eastAsia="Calibri" w:hAnsi="Times New Roman"/>
          <w:lang w:val="vi-VN"/>
        </w:rPr>
        <w:t>Chỉ đạo các lực lượng mở các đợt cao điểm đấu tranh trấn áp tội phạm, vi phạm pháp luật trên từng lĩnh vực cụ thể, trọng tâm là tội phạm trên không gian mạng, tội phạm liên quan đến “tín dụng đen”, tội phạm lừa đảo chiếm đoạt tài sản, tội phạm ma túy trên tuyến biên giới; tội phạm, vi phạm về vũ khí, vật liệu nổ, công cụ hỗ trợ; tội phạm, vi phạm về buôn lậu, gian lận thương mại, vệ sinh an toàn thực phẩm, khai thác tài nguyên, khoáng sản trái phép.</w:t>
      </w:r>
    </w:p>
    <w:p>
      <w:pPr>
        <w:widowControl w:val="0"/>
        <w:spacing w:before="100"/>
        <w:ind w:firstLine="709"/>
        <w:jc w:val="both"/>
        <w:rPr>
          <w:rFonts w:ascii="Times New Roman" w:eastAsia="Calibri" w:hAnsi="Times New Roman"/>
          <w:lang w:val="vi-VN"/>
        </w:rPr>
      </w:pPr>
      <w:r>
        <w:rPr>
          <w:rFonts w:ascii="Times New Roman" w:eastAsia="Calibri" w:hAnsi="Times New Roman"/>
          <w:b/>
          <w:lang w:val="vi-VN"/>
        </w:rPr>
        <w:t xml:space="preserve">3. </w:t>
      </w:r>
      <w:r>
        <w:rPr>
          <w:rFonts w:ascii="Times New Roman" w:eastAsia="Calibri" w:hAnsi="Times New Roman"/>
          <w:lang w:val="vi-VN"/>
        </w:rPr>
        <w:t xml:space="preserve">Các sở, ngành, địa phương tiếp tục thực hiện hiệu quả Đề án 06 của Chính phủ và đẩy mạnh kết nối, chia sẻ dữ liệu phục vụ công tác quản lý, điều hành của các cấp, ngành, địa phương và phục vụ phát triển kinh tế - xã hội, cung cấp tiện ích cho người dân, doanh nghiệp. Tăng cường giải pháp đảm bảo trật tự an toàn giao thông, làm giảm tai nạn giao thông, phòng ngừa cháy nổ, chủ động ứng cứu, xử lý sự cố. Thực hiện tốt chính sách an sinh xã hội, huy động nguồn vốn hỗ trợ người chấp hành xong án phạt tù theo Quyết định số 22/2023/QĐ-TTg ngày 17/8/2023 của Thủ tướng Chính phủ. </w:t>
      </w:r>
    </w:p>
    <w:p>
      <w:pPr>
        <w:widowControl w:val="0"/>
        <w:spacing w:before="100"/>
        <w:ind w:firstLine="709"/>
        <w:jc w:val="both"/>
        <w:rPr>
          <w:rFonts w:ascii="Times New Roman" w:eastAsia="Calibri" w:hAnsi="Times New Roman"/>
          <w:lang w:val="vi-VN"/>
        </w:rPr>
      </w:pPr>
      <w:r>
        <w:rPr>
          <w:rFonts w:ascii="Times New Roman" w:eastAsia="Calibri" w:hAnsi="Times New Roman"/>
          <w:b/>
          <w:lang w:val="vi-VN"/>
        </w:rPr>
        <w:t>4.</w:t>
      </w:r>
      <w:r>
        <w:rPr>
          <w:rFonts w:ascii="Times New Roman" w:eastAsia="Calibri" w:hAnsi="Times New Roman"/>
          <w:lang w:val="vi-VN"/>
        </w:rPr>
        <w:t xml:space="preserve"> Cơ quan điều tra, Cơ quan được giao nhiệm vụ tiến hành một số hoạt động điều tra tiếp tục phối hợp với Viện Kiểm sát nhân dân, Tòa án nhân dân nâng cao chất lượng công tác bắt, giam giữ, điều tra, truy tố, xét xử, đảm bảo tính nghiêm minh, khách quan của pháp luật, không để xảy ra oan, sai, không bỏ lọt tội phạm; đẩy nhanh tiến độ điều tra, giải quyết các vụ án, nhất là các vụ án thuộc diện Ban Chỉ đạo phòng, chống tham nhũng của Trung ương, của tỉnh theo dõi, chỉ đạo. N</w:t>
      </w:r>
      <w:r>
        <w:rPr>
          <w:rFonts w:ascii="Times New Roman" w:eastAsia="Calibri" w:hAnsi="Times New Roman"/>
          <w:lang w:val="de-DE"/>
        </w:rPr>
        <w:t>âng cao hiệu quả các biện pháp xử lý hành chính, đặc biệt là công tác giáo dục đối tượng tại xã, phường, thị trấn, lập hồ sơ đưa đối tượng vào cơ sở cai nghiện bắt buộc, cơ sở giáo dục bắt buộc và trường giáo dưỡng.</w:t>
      </w:r>
    </w:p>
    <w:p>
      <w:pPr>
        <w:widowControl w:val="0"/>
        <w:spacing w:before="100"/>
        <w:ind w:firstLine="709"/>
        <w:jc w:val="both"/>
        <w:rPr>
          <w:rFonts w:ascii="Times New Roman" w:hAnsi="Times New Roman"/>
          <w:lang w:val="de-DE" w:eastAsia="vi-VN" w:bidi="vi-VN"/>
        </w:rPr>
      </w:pPr>
      <w:r>
        <w:rPr>
          <w:rFonts w:ascii="Times New Roman" w:hAnsi="Times New Roman"/>
          <w:b/>
          <w:lang w:val="vi-VN" w:eastAsia="vi-VN" w:bidi="vi-VN"/>
        </w:rPr>
        <w:t>5</w:t>
      </w:r>
      <w:r>
        <w:rPr>
          <w:rFonts w:ascii="Times New Roman" w:hAnsi="Times New Roman"/>
          <w:b/>
          <w:lang w:val="de-DE" w:eastAsia="vi-VN" w:bidi="vi-VN"/>
        </w:rPr>
        <w:t xml:space="preserve">. </w:t>
      </w:r>
      <w:r>
        <w:rPr>
          <w:rFonts w:ascii="Times New Roman" w:hAnsi="Times New Roman"/>
          <w:lang w:val="de-DE" w:eastAsia="vi-VN" w:bidi="vi-VN"/>
        </w:rPr>
        <w:t>Tăng cường công tác quản lý nhà nước về truyền thông, thông tin; phát huy vai trò của các cơ quan báo chí trong việc tuyên truyền, đấu tranh, phòng, chống tội phạm, đảm bảo ANTT; phản b</w:t>
      </w:r>
      <w:r>
        <w:rPr>
          <w:rFonts w:ascii="Times New Roman" w:hAnsi="Times New Roman"/>
          <w:lang w:val="vi-VN" w:eastAsia="vi-VN" w:bidi="vi-VN"/>
        </w:rPr>
        <w:t>iện</w:t>
      </w:r>
      <w:r>
        <w:rPr>
          <w:rFonts w:ascii="Times New Roman" w:hAnsi="Times New Roman"/>
          <w:lang w:val="de-DE" w:eastAsia="vi-VN" w:bidi="vi-VN"/>
        </w:rPr>
        <w:t xml:space="preserve"> các luận điệu sai trái, thù địch, lên án những hành vi lệch chuẩn, vi phạm pháp luật; kịp thời định hướng dư luận, tạo sự đồng thuận trong xã hội.</w:t>
      </w:r>
    </w:p>
    <w:p>
      <w:pPr>
        <w:widowControl w:val="0"/>
        <w:spacing w:before="100"/>
        <w:ind w:firstLine="709"/>
        <w:jc w:val="both"/>
        <w:rPr>
          <w:rFonts w:ascii="Times New Roman" w:hAnsi="Times New Roman"/>
          <w:spacing w:val="-2"/>
          <w:lang w:val="de-DE"/>
        </w:rPr>
      </w:pPr>
      <w:r>
        <w:rPr>
          <w:rFonts w:ascii="Times New Roman" w:eastAsia="Calibri" w:hAnsi="Times New Roman"/>
          <w:b/>
          <w:spacing w:val="-2"/>
          <w:lang w:val="vi-VN"/>
        </w:rPr>
        <w:t>6</w:t>
      </w:r>
      <w:r>
        <w:rPr>
          <w:rFonts w:ascii="Times New Roman" w:eastAsia="Calibri" w:hAnsi="Times New Roman"/>
          <w:b/>
          <w:spacing w:val="-2"/>
          <w:lang w:val="de-DE"/>
        </w:rPr>
        <w:t xml:space="preserve">. </w:t>
      </w:r>
      <w:r>
        <w:rPr>
          <w:rFonts w:ascii="Times New Roman" w:hAnsi="Times New Roman"/>
          <w:spacing w:val="-2"/>
          <w:lang w:val="vi-VN" w:eastAsia="vi-VN" w:bidi="vi-VN"/>
        </w:rPr>
        <w:t>Tăng cường</w:t>
      </w:r>
      <w:r>
        <w:rPr>
          <w:rFonts w:ascii="Times New Roman" w:hAnsi="Times New Roman"/>
          <w:spacing w:val="-2"/>
          <w:lang w:val="de-DE" w:eastAsia="vi-VN" w:bidi="vi-VN"/>
        </w:rPr>
        <w:t xml:space="preserve"> công tác giáo dục chính trị, tư tưởng, quản lý cán bộ, đảng viên;</w:t>
      </w:r>
      <w:r>
        <w:rPr>
          <w:rFonts w:ascii="Times New Roman" w:hAnsi="Times New Roman"/>
          <w:spacing w:val="-2"/>
          <w:lang w:val="vi-VN" w:eastAsia="vi-VN" w:bidi="vi-VN"/>
        </w:rPr>
        <w:t xml:space="preserve"> </w:t>
      </w:r>
      <w:r>
        <w:rPr>
          <w:rFonts w:ascii="Times New Roman" w:eastAsia="Calibri" w:hAnsi="Times New Roman"/>
          <w:spacing w:val="-2"/>
          <w:lang w:val="de-DE"/>
        </w:rPr>
        <w:t xml:space="preserve">nâng cao năng lực, đạo đức nghề nghiệp, ý thức, trách nhiệm và các kỹ năng công vụ cho lực lượng thực thi pháp luật. </w:t>
      </w:r>
      <w:r>
        <w:rPr>
          <w:rFonts w:ascii="Times New Roman" w:eastAsia="Calibri" w:hAnsi="Times New Roman"/>
          <w:spacing w:val="-2"/>
          <w:lang w:val="vi-VN"/>
        </w:rPr>
        <w:t>Thực hiện</w:t>
      </w:r>
      <w:r>
        <w:rPr>
          <w:rFonts w:ascii="Times New Roman" w:eastAsia="Calibri" w:hAnsi="Times New Roman"/>
          <w:spacing w:val="-2"/>
          <w:lang w:val="de-DE"/>
        </w:rPr>
        <w:t xml:space="preserve"> kỷ luật, kỷ cương hành chính; chấn chỉnh, xử lý nghiêm các hành vi tiêu cực, tham nhũng, vi phạm pháp luật</w:t>
      </w:r>
      <w:r>
        <w:rPr>
          <w:rFonts w:ascii="Times New Roman" w:hAnsi="Times New Roman"/>
          <w:spacing w:val="-2"/>
          <w:lang w:val="de-DE"/>
        </w:rPr>
        <w:t>.</w:t>
      </w:r>
    </w:p>
    <w:p>
      <w:pPr>
        <w:pBdr>
          <w:top w:val="dotted" w:sz="4" w:space="0" w:color="FFFFFF"/>
          <w:left w:val="dotted" w:sz="4" w:space="0" w:color="FFFFFF"/>
          <w:bottom w:val="dotted" w:sz="4" w:space="21" w:color="FFFFFF"/>
          <w:right w:val="dotted" w:sz="4" w:space="29" w:color="FFFFFF"/>
        </w:pBdr>
        <w:shd w:val="clear" w:color="auto" w:fill="FFFFFF"/>
        <w:spacing w:before="100"/>
        <w:ind w:firstLine="680"/>
        <w:jc w:val="both"/>
        <w:rPr>
          <w:rFonts w:ascii="Times New Roman" w:eastAsia="Calibri" w:hAnsi="Times New Roman"/>
          <w:lang w:val="de-DE"/>
        </w:rPr>
      </w:pPr>
      <w:r>
        <w:rPr>
          <w:rFonts w:ascii="Times New Roman" w:eastAsia="Calibri" w:hAnsi="Times New Roman"/>
          <w:lang w:val="de-DE"/>
        </w:rPr>
        <w:t>Trên đây là tình hình, kết quả công tác phòng, chống tội phạm và vi phạm pháp luật 06 tháng đầu năm; nhiệm vụ, giải pháp những tháng cuối năm 2025</w:t>
      </w:r>
      <w:r>
        <w:rPr>
          <w:rFonts w:ascii="Times New Roman" w:hAnsi="Times New Roman"/>
          <w:lang w:val="de-DE"/>
        </w:rPr>
        <w:t xml:space="preserve">, UBND tỉnh báo cáo tại kỳ họp giữa năm 2025, HĐND tỉnh Khóa XVIII./.     </w:t>
      </w:r>
    </w:p>
    <w:tbl>
      <w:tblPr>
        <w:tblStyle w:val="TableGrid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678"/>
      </w:tblGrid>
      <w:tr>
        <w:tc>
          <w:tcPr>
            <w:tcW w:w="4531" w:type="dxa"/>
          </w:tcPr>
          <w:p>
            <w:pPr>
              <w:widowControl w:val="0"/>
              <w:spacing w:after="60"/>
              <w:ind w:firstLine="0"/>
              <w:rPr>
                <w:rFonts w:ascii="Times New Roman" w:eastAsia="Aptos" w:hAnsi="Times New Roman"/>
                <w:sz w:val="24"/>
                <w:szCs w:val="24"/>
                <w:lang w:val="de-DE"/>
              </w:rPr>
            </w:pPr>
            <w:r>
              <w:rPr>
                <w:rFonts w:ascii="Times New Roman" w:eastAsia="Aptos" w:hAnsi="Times New Roman"/>
                <w:b/>
                <w:i/>
                <w:sz w:val="24"/>
                <w:szCs w:val="24"/>
                <w:lang w:val="de-DE"/>
              </w:rPr>
              <w:t>Nơi nhận:</w:t>
            </w:r>
          </w:p>
          <w:p>
            <w:pPr>
              <w:widowControl w:val="0"/>
              <w:ind w:firstLine="0"/>
              <w:rPr>
                <w:rFonts w:ascii="Times New Roman" w:eastAsia="Aptos" w:hAnsi="Times New Roman"/>
                <w:sz w:val="22"/>
                <w:szCs w:val="22"/>
                <w:lang w:val="de-DE"/>
              </w:rPr>
            </w:pPr>
            <w:r>
              <w:rPr>
                <w:rFonts w:ascii="Times New Roman" w:eastAsia="Aptos" w:hAnsi="Times New Roman"/>
                <w:sz w:val="22"/>
                <w:szCs w:val="22"/>
                <w:lang w:val="de-DE"/>
              </w:rPr>
              <w:t>- Thường trực Tỉnh ủy;</w:t>
            </w:r>
          </w:p>
          <w:p>
            <w:pPr>
              <w:widowControl w:val="0"/>
              <w:ind w:firstLine="0"/>
              <w:rPr>
                <w:rFonts w:ascii="Times New Roman" w:eastAsia="Aptos" w:hAnsi="Times New Roman"/>
                <w:sz w:val="22"/>
                <w:szCs w:val="22"/>
                <w:lang w:val="de-DE"/>
              </w:rPr>
            </w:pPr>
            <w:r>
              <w:rPr>
                <w:rFonts w:ascii="Times New Roman" w:eastAsia="Aptos" w:hAnsi="Times New Roman"/>
                <w:sz w:val="22"/>
                <w:szCs w:val="22"/>
                <w:lang w:val="de-DE"/>
              </w:rPr>
              <w:t>- Thường trực HĐND tỉnh;</w:t>
            </w:r>
          </w:p>
          <w:p>
            <w:pPr>
              <w:widowControl w:val="0"/>
              <w:ind w:firstLine="0"/>
              <w:rPr>
                <w:rFonts w:ascii="Times New Roman" w:eastAsia="Aptos" w:hAnsi="Times New Roman"/>
                <w:sz w:val="22"/>
                <w:szCs w:val="22"/>
                <w:lang w:val="de-DE"/>
              </w:rPr>
            </w:pPr>
            <w:r>
              <w:rPr>
                <w:rFonts w:ascii="Times New Roman" w:eastAsia="Aptos" w:hAnsi="Times New Roman"/>
                <w:sz w:val="22"/>
                <w:szCs w:val="22"/>
                <w:lang w:val="de-DE"/>
              </w:rPr>
              <w:t>- Chủ tịch, các PCT UBND tỉnh;</w:t>
            </w:r>
          </w:p>
          <w:p>
            <w:pPr>
              <w:widowControl w:val="0"/>
              <w:ind w:firstLine="0"/>
              <w:rPr>
                <w:rFonts w:ascii="Times New Roman" w:eastAsia="Aptos" w:hAnsi="Times New Roman"/>
                <w:sz w:val="22"/>
                <w:szCs w:val="22"/>
                <w:lang w:val="de-DE"/>
              </w:rPr>
            </w:pPr>
            <w:r>
              <w:rPr>
                <w:rFonts w:ascii="Times New Roman" w:eastAsia="Aptos" w:hAnsi="Times New Roman"/>
                <w:sz w:val="22"/>
                <w:szCs w:val="22"/>
                <w:lang w:val="de-DE"/>
              </w:rPr>
              <w:t>- Các vị đại biểu HĐND tỉnh;</w:t>
            </w:r>
          </w:p>
          <w:p>
            <w:pPr>
              <w:widowControl w:val="0"/>
              <w:ind w:firstLine="0"/>
              <w:rPr>
                <w:rFonts w:ascii="Times New Roman" w:eastAsia="Aptos" w:hAnsi="Times New Roman"/>
                <w:sz w:val="22"/>
                <w:szCs w:val="22"/>
              </w:rPr>
            </w:pPr>
            <w:r>
              <w:rPr>
                <w:rFonts w:ascii="Times New Roman" w:eastAsia="Aptos" w:hAnsi="Times New Roman"/>
                <w:sz w:val="22"/>
                <w:szCs w:val="22"/>
              </w:rPr>
              <w:t>- Ban Pháp chế HĐND tỉnh;</w:t>
            </w:r>
          </w:p>
          <w:p>
            <w:pPr>
              <w:widowControl w:val="0"/>
              <w:ind w:firstLine="0"/>
              <w:rPr>
                <w:rFonts w:ascii="Times New Roman" w:eastAsia="Aptos" w:hAnsi="Times New Roman"/>
                <w:sz w:val="22"/>
                <w:szCs w:val="22"/>
              </w:rPr>
            </w:pPr>
            <w:r>
              <w:rPr>
                <w:rFonts w:ascii="Times New Roman" w:eastAsia="Aptos" w:hAnsi="Times New Roman"/>
                <w:sz w:val="22"/>
                <w:szCs w:val="22"/>
              </w:rPr>
              <w:t>- Văn phòng Đoàn ĐBQH và HĐND tỉnh;</w:t>
            </w:r>
          </w:p>
          <w:p>
            <w:pPr>
              <w:widowControl w:val="0"/>
              <w:ind w:firstLine="0"/>
              <w:rPr>
                <w:rFonts w:ascii="Times New Roman" w:eastAsia="Aptos" w:hAnsi="Times New Roman"/>
                <w:sz w:val="22"/>
                <w:szCs w:val="22"/>
              </w:rPr>
            </w:pPr>
            <w:r>
              <w:rPr>
                <w:rFonts w:ascii="Times New Roman" w:eastAsia="Aptos" w:hAnsi="Times New Roman"/>
                <w:sz w:val="22"/>
                <w:szCs w:val="22"/>
              </w:rPr>
              <w:t>- Các sở, ban, ngành cấp tỉnh;</w:t>
            </w:r>
          </w:p>
          <w:p>
            <w:pPr>
              <w:widowControl w:val="0"/>
              <w:ind w:firstLine="0"/>
              <w:rPr>
                <w:rFonts w:ascii="Times New Roman" w:eastAsia="Aptos" w:hAnsi="Times New Roman"/>
                <w:sz w:val="22"/>
                <w:szCs w:val="22"/>
              </w:rPr>
            </w:pPr>
            <w:r>
              <w:rPr>
                <w:rFonts w:ascii="Times New Roman" w:eastAsia="Aptos" w:hAnsi="Times New Roman"/>
                <w:sz w:val="22"/>
                <w:szCs w:val="22"/>
              </w:rPr>
              <w:t>- UBND các huyện, thành phố, thị xã;</w:t>
            </w:r>
          </w:p>
          <w:p>
            <w:pPr>
              <w:widowControl w:val="0"/>
              <w:ind w:firstLine="0"/>
              <w:rPr>
                <w:rFonts w:ascii="Times New Roman" w:eastAsia="Aptos" w:hAnsi="Times New Roman"/>
                <w:sz w:val="22"/>
                <w:szCs w:val="22"/>
              </w:rPr>
            </w:pPr>
            <w:r>
              <w:rPr>
                <w:rFonts w:ascii="Times New Roman" w:eastAsia="Aptos" w:hAnsi="Times New Roman"/>
                <w:sz w:val="22"/>
                <w:szCs w:val="22"/>
              </w:rPr>
              <w:t>- Chánh VP, các PCVP UBND tỉnh;</w:t>
            </w:r>
          </w:p>
          <w:p>
            <w:pPr>
              <w:spacing w:after="200" w:line="276" w:lineRule="auto"/>
              <w:ind w:firstLine="0"/>
              <w:rPr>
                <w:rFonts w:ascii="Times New Roman" w:eastAsia="Aptos" w:hAnsi="Times New Roman"/>
                <w:sz w:val="22"/>
                <w:szCs w:val="22"/>
              </w:rPr>
            </w:pPr>
            <w:r>
              <w:rPr>
                <w:rFonts w:ascii="Times New Roman" w:eastAsia="Aptos" w:hAnsi="Times New Roman"/>
                <w:sz w:val="22"/>
                <w:szCs w:val="22"/>
              </w:rPr>
              <w:t>- Lưu: VT, TCD, TH, NC</w:t>
            </w:r>
            <w:r>
              <w:rPr>
                <w:rFonts w:ascii="Times New Roman" w:eastAsia="Aptos" w:hAnsi="Times New Roman"/>
                <w:sz w:val="22"/>
                <w:szCs w:val="22"/>
                <w:lang w:val="vi-VN"/>
              </w:rPr>
              <w:t>.</w:t>
            </w:r>
          </w:p>
        </w:tc>
        <w:tc>
          <w:tcPr>
            <w:tcW w:w="4678" w:type="dxa"/>
          </w:tcPr>
          <w:p>
            <w:pPr>
              <w:widowControl w:val="0"/>
              <w:jc w:val="center"/>
              <w:rPr>
                <w:rFonts w:ascii="Times New Roman" w:eastAsia="Aptos" w:hAnsi="Times New Roman"/>
                <w:b/>
                <w:sz w:val="26"/>
                <w:szCs w:val="26"/>
              </w:rPr>
            </w:pPr>
            <w:r>
              <w:rPr>
                <w:rFonts w:ascii="Times New Roman" w:eastAsia="Aptos" w:hAnsi="Times New Roman"/>
                <w:b/>
                <w:sz w:val="26"/>
                <w:szCs w:val="26"/>
              </w:rPr>
              <w:t>TM. ỦY BAN NHÂN DÂN</w:t>
            </w:r>
          </w:p>
          <w:p>
            <w:pPr>
              <w:widowControl w:val="0"/>
              <w:jc w:val="center"/>
              <w:rPr>
                <w:rFonts w:ascii="Times New Roman" w:eastAsia="Aptos" w:hAnsi="Times New Roman"/>
                <w:b/>
                <w:sz w:val="26"/>
                <w:szCs w:val="26"/>
              </w:rPr>
            </w:pPr>
            <w:r>
              <w:rPr>
                <w:rFonts w:ascii="Times New Roman" w:eastAsia="Aptos" w:hAnsi="Times New Roman"/>
                <w:b/>
                <w:sz w:val="26"/>
                <w:szCs w:val="26"/>
              </w:rPr>
              <w:t>KT. CHỦ TỊCH</w:t>
            </w:r>
          </w:p>
          <w:p>
            <w:pPr>
              <w:widowControl w:val="0"/>
              <w:jc w:val="center"/>
              <w:rPr>
                <w:rFonts w:ascii="Times New Roman" w:eastAsia="Aptos" w:hAnsi="Times New Roman"/>
                <w:b/>
                <w:sz w:val="26"/>
                <w:szCs w:val="26"/>
              </w:rPr>
            </w:pPr>
            <w:r>
              <w:rPr>
                <w:rFonts w:ascii="Times New Roman" w:eastAsia="Aptos" w:hAnsi="Times New Roman"/>
                <w:b/>
                <w:sz w:val="26"/>
                <w:szCs w:val="26"/>
              </w:rPr>
              <w:t>PHÓ CHỦ TỊCH</w:t>
            </w:r>
          </w:p>
          <w:p>
            <w:pPr>
              <w:widowControl w:val="0"/>
              <w:jc w:val="center"/>
              <w:rPr>
                <w:rFonts w:ascii="Times New Roman" w:eastAsia="Aptos" w:hAnsi="Times New Roman"/>
                <w:b/>
                <w:sz w:val="26"/>
                <w:szCs w:val="26"/>
              </w:rPr>
            </w:pPr>
          </w:p>
          <w:p>
            <w:pPr>
              <w:widowControl w:val="0"/>
              <w:jc w:val="center"/>
              <w:rPr>
                <w:rFonts w:ascii="Times New Roman" w:eastAsia="Aptos" w:hAnsi="Times New Roman"/>
                <w:b/>
                <w:sz w:val="26"/>
                <w:szCs w:val="26"/>
              </w:rPr>
            </w:pPr>
          </w:p>
          <w:p>
            <w:pPr>
              <w:widowControl w:val="0"/>
              <w:jc w:val="center"/>
              <w:rPr>
                <w:rFonts w:ascii="Times New Roman" w:eastAsia="Aptos" w:hAnsi="Times New Roman"/>
                <w:b/>
                <w:sz w:val="26"/>
                <w:szCs w:val="26"/>
              </w:rPr>
            </w:pPr>
          </w:p>
          <w:p>
            <w:pPr>
              <w:widowControl w:val="0"/>
              <w:jc w:val="center"/>
              <w:rPr>
                <w:rFonts w:ascii="Times New Roman" w:eastAsia="Aptos" w:hAnsi="Times New Roman"/>
                <w:b/>
                <w:sz w:val="26"/>
                <w:szCs w:val="26"/>
              </w:rPr>
            </w:pPr>
          </w:p>
          <w:p>
            <w:pPr>
              <w:widowControl w:val="0"/>
              <w:jc w:val="center"/>
              <w:rPr>
                <w:rFonts w:ascii="Times New Roman" w:eastAsia="Aptos" w:hAnsi="Times New Roman"/>
                <w:b/>
                <w:sz w:val="26"/>
                <w:szCs w:val="26"/>
              </w:rPr>
            </w:pPr>
          </w:p>
          <w:p>
            <w:pPr>
              <w:widowControl w:val="0"/>
              <w:jc w:val="center"/>
              <w:rPr>
                <w:rFonts w:ascii="Times New Roman" w:eastAsia="Aptos" w:hAnsi="Times New Roman"/>
                <w:b/>
                <w:sz w:val="26"/>
                <w:szCs w:val="26"/>
              </w:rPr>
            </w:pPr>
          </w:p>
          <w:p>
            <w:pPr>
              <w:widowControl w:val="0"/>
              <w:jc w:val="center"/>
              <w:rPr>
                <w:rFonts w:ascii="Times New Roman" w:eastAsia="Aptos" w:hAnsi="Times New Roman"/>
                <w:b/>
                <w:sz w:val="26"/>
                <w:szCs w:val="26"/>
              </w:rPr>
            </w:pPr>
          </w:p>
          <w:p>
            <w:pPr>
              <w:widowControl w:val="0"/>
              <w:jc w:val="center"/>
              <w:rPr>
                <w:rFonts w:ascii="Times New Roman" w:eastAsia="Aptos" w:hAnsi="Times New Roman"/>
                <w:sz w:val="22"/>
                <w:szCs w:val="22"/>
              </w:rPr>
            </w:pPr>
            <w:r>
              <w:rPr>
                <w:rFonts w:ascii="Times New Roman" w:eastAsia="Aptos" w:hAnsi="Times New Roman"/>
                <w:b/>
              </w:rPr>
              <w:t>Nguyễn Hồng Lĩnh</w:t>
            </w:r>
          </w:p>
        </w:tc>
      </w:tr>
    </w:tbl>
    <w:p>
      <w:pPr>
        <w:spacing w:after="200" w:line="276" w:lineRule="auto"/>
        <w:rPr>
          <w:rFonts w:ascii="Times New Roman" w:eastAsia="Aptos" w:hAnsi="Times New Roman"/>
          <w:sz w:val="22"/>
          <w:szCs w:val="22"/>
        </w:rPr>
      </w:pPr>
    </w:p>
    <w:p>
      <w:pPr>
        <w:widowControl w:val="0"/>
        <w:spacing w:before="120"/>
        <w:ind w:firstLine="709"/>
        <w:jc w:val="both"/>
        <w:rPr>
          <w:rFonts w:ascii="Times New Roman" w:hAnsi="Times New Roman"/>
          <w:sz w:val="10"/>
        </w:rPr>
      </w:pPr>
    </w:p>
    <w:p>
      <w:pPr>
        <w:widowControl w:val="0"/>
        <w:spacing w:after="120"/>
        <w:jc w:val="both"/>
        <w:rPr>
          <w:rFonts w:ascii="Times New Roman" w:hAnsi="Times New Roman"/>
          <w:szCs w:val="22"/>
        </w:rPr>
      </w:pPr>
    </w:p>
    <w:sectPr>
      <w:headerReference w:type="even" r:id="rId9"/>
      <w:headerReference w:type="default" r:id="rId10"/>
      <w:footerReference w:type="even" r:id="rId11"/>
      <w:pgSz w:w="11907" w:h="16839" w:code="9"/>
      <w:pgMar w:top="1077" w:right="1077" w:bottom="1077" w:left="1644" w:header="425"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right"/>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pStyle w:val="FootnoteText"/>
        <w:ind w:firstLine="709"/>
        <w:jc w:val="both"/>
        <w:rPr>
          <w:rFonts w:ascii="Times New Roman" w:hAnsi="Times New Roman"/>
        </w:rPr>
      </w:pPr>
      <w:r>
        <w:rPr>
          <w:rStyle w:val="FootnoteReference"/>
          <w:rFonts w:ascii="Times New Roman" w:hAnsi="Times New Roman"/>
        </w:rPr>
        <w:footnoteRef/>
      </w:r>
      <w:r>
        <w:rPr>
          <w:rFonts w:ascii="Times New Roman" w:hAnsi="Times New Roman"/>
        </w:rPr>
        <w:t xml:space="preserve"> Phát hiện, xử lý 69 tr</w:t>
      </w:r>
      <w:r>
        <w:rPr>
          <w:rFonts w:ascii="Times New Roman" w:hAnsi="Times New Roman" w:hint="eastAsia"/>
        </w:rPr>
        <w:t>ư</w:t>
      </w:r>
      <w:r>
        <w:rPr>
          <w:rFonts w:ascii="Times New Roman" w:hAnsi="Times New Roman"/>
        </w:rPr>
        <w:t>ờng hợp, phạt tiền h</w:t>
      </w:r>
      <w:r>
        <w:rPr>
          <w:rFonts w:ascii="Times New Roman" w:hAnsi="Times New Roman" w:hint="eastAsia"/>
        </w:rPr>
        <w:t>ơ</w:t>
      </w:r>
      <w:r>
        <w:rPr>
          <w:rFonts w:ascii="Times New Roman" w:hAnsi="Times New Roman"/>
        </w:rPr>
        <w:t xml:space="preserve">n 273 triệu </w:t>
      </w:r>
      <w:r>
        <w:rPr>
          <w:rFonts w:ascii="Times New Roman" w:hAnsi="Times New Roman" w:hint="eastAsia"/>
        </w:rPr>
        <w:t>đ</w:t>
      </w:r>
      <w:r>
        <w:rPr>
          <w:rFonts w:ascii="Times New Roman" w:hAnsi="Times New Roman"/>
        </w:rPr>
        <w:t xml:space="preserve">ồng, trong </w:t>
      </w:r>
      <w:r>
        <w:rPr>
          <w:rFonts w:ascii="Times New Roman" w:hAnsi="Times New Roman" w:hint="eastAsia"/>
        </w:rPr>
        <w:t>đó</w:t>
      </w:r>
      <w:r>
        <w:rPr>
          <w:rFonts w:ascii="Times New Roman" w:hAnsi="Times New Roman"/>
        </w:rPr>
        <w:t xml:space="preserve"> có 22 tr</w:t>
      </w:r>
      <w:r>
        <w:rPr>
          <w:rFonts w:ascii="Times New Roman" w:hAnsi="Times New Roman" w:hint="eastAsia"/>
        </w:rPr>
        <w:t>ư</w:t>
      </w:r>
      <w:r>
        <w:rPr>
          <w:rFonts w:ascii="Times New Roman" w:hAnsi="Times New Roman"/>
        </w:rPr>
        <w:t>ờng hợp người nước ngoài.</w:t>
      </w:r>
    </w:p>
  </w:footnote>
  <w:footnote w:id="2">
    <w:p>
      <w:pPr>
        <w:pStyle w:val="FootnoteText"/>
        <w:spacing w:after="60"/>
        <w:ind w:firstLine="720"/>
        <w:jc w:val="both"/>
        <w:rPr>
          <w:rFonts w:ascii="Times New Roman" w:hAnsi="Times New Roman"/>
        </w:rPr>
      </w:pPr>
      <w:r>
        <w:rPr>
          <w:rStyle w:val="FootnoteReference"/>
          <w:rFonts w:ascii="Times New Roman" w:hAnsi="Times New Roman"/>
        </w:rPr>
        <w:footnoteRef/>
      </w:r>
      <w:r>
        <w:rPr>
          <w:rFonts w:ascii="Times New Roman" w:hAnsi="Times New Roman"/>
        </w:rPr>
        <w:t xml:space="preserve"> Chỉ thị số 56-CT/TU ngày 20/01/2025 về tăng cường sự lãnh đạo của Đảng đối với công tác quản lý người nghiện ma túy, người sử dụng trái phép chất ma túy, người sau cai nghiện ma túy trên địa bàn tỉnh Hà Tĩnh; UBND tỉnh ban hành: Chỉ thị số 12/CT-UBND ngày 23/12/2024 thực hiện đợt cao điểm tấn công, trấn áp tội phạm, bảo đảm ANTT Tết Nguyên đán Ất Tỵ 2025; Kế hoạch 627/KH-UBND ngày 27/12/2024 tổ chức các hoạt động bảo đảm trật tự an toàn giao thông phục vụ Nhân dân đón Tết Dương lịch, Tết Nguyên đán Ất Tỵ và Lễ hội đầu xuân 2025; Kế hoạch 07/KH-UBND ngày 09/01/2025 triển khai thực hiện Chỉ thị số 46/CT-TTg ngày 23/12/2024 của Thủ tướng Chính phủ về một số giải pháp cấp bách trong công tác phòng cháy, chữa cháy và cứu nạn, chứu hộ tại các cơ sở có nguy cơ về cháy, nổ, địa điểm tập trung đông người dịp Tết Nguyên đán năm 2025; Kế hoạch 70/KH-UBND ngày 06/3/2025 về công tác phòng, chống tham nhũng, lãng phí, tiêu cực năm 2025 trên địa bàn tỉnh Hà Tĩnh; Kế hoạch số 217/KH-UBND ngày 05/5/2025 về triển khai thực hiện Chỉ thị số 56-CT/TU ngày 20/01/2025 về tăng cường sự lãnh đạo của Đảng đối với công tác quản lý người nghiện ma túy, người sử dụng trái phép chất ma túy, người sau cai nghiện ma túy trên địa bàn tỉnh Hà Tĩnh; Kế hoạch 262/KH-UBND ngày 26/5/2025 thực hiện Chỉ thị số 11/CT-TTg ngày 21/4/2025 của Thủ tướng Chính phủ về tăng cường triển khai Luật Trật tự, an toàn giao thông đường bộ; Kế hoạch 309/KH-UBND ngày 14/6/2025 về mở đợt cao điểm tuyên truyền, đấu tranh phòng, chống ma túy hưởng ứng Tháng hành động phòng, chống ma túy, Ngày Quốc tế phòng, chống ma túy và Ngày toàn dân phòng, chống ma túy năm 2025.</w:t>
      </w:r>
    </w:p>
  </w:footnote>
  <w:footnote w:id="3">
    <w:p>
      <w:pPr>
        <w:pStyle w:val="FootnoteText"/>
        <w:ind w:firstLine="720"/>
        <w:jc w:val="both"/>
        <w:rPr>
          <w:rFonts w:ascii="Times New Roman" w:hAnsi="Times New Roman"/>
        </w:rPr>
      </w:pPr>
      <w:r>
        <w:rPr>
          <w:rStyle w:val="FootnoteReference"/>
          <w:rFonts w:ascii="Times New Roman" w:hAnsi="Times New Roman"/>
        </w:rPr>
        <w:footnoteRef/>
      </w:r>
      <w:r>
        <w:rPr>
          <w:rFonts w:ascii="Times New Roman" w:hAnsi="Times New Roman"/>
        </w:rPr>
        <w:t xml:space="preserve"> Trong 06 tháng </w:t>
      </w:r>
      <w:r>
        <w:rPr>
          <w:rFonts w:ascii="Times New Roman" w:hAnsi="Times New Roman" w:hint="eastAsia"/>
        </w:rPr>
        <w:t>đ</w:t>
      </w:r>
      <w:r>
        <w:rPr>
          <w:rFonts w:ascii="Times New Roman" w:hAnsi="Times New Roman"/>
        </w:rPr>
        <w:t>ầu n</w:t>
      </w:r>
      <w:r>
        <w:rPr>
          <w:rFonts w:ascii="Times New Roman" w:hAnsi="Times New Roman" w:hint="eastAsia"/>
        </w:rPr>
        <w:t>ă</w:t>
      </w:r>
      <w:r>
        <w:rPr>
          <w:rFonts w:ascii="Times New Roman" w:hAnsi="Times New Roman"/>
        </w:rPr>
        <w:t>m 2025, có 191 ng</w:t>
      </w:r>
      <w:r>
        <w:rPr>
          <w:rFonts w:ascii="Times New Roman" w:hAnsi="Times New Roman" w:hint="eastAsia"/>
        </w:rPr>
        <w:t>ư</w:t>
      </w:r>
      <w:r>
        <w:rPr>
          <w:rFonts w:ascii="Times New Roman" w:hAnsi="Times New Roman"/>
        </w:rPr>
        <w:t xml:space="preserve">ời chấp hành xong án phạt tù </w:t>
      </w:r>
      <w:r>
        <w:rPr>
          <w:rFonts w:ascii="Times New Roman" w:hAnsi="Times New Roman" w:hint="eastAsia"/>
        </w:rPr>
        <w:t>đư</w:t>
      </w:r>
      <w:r>
        <w:rPr>
          <w:rFonts w:ascii="Times New Roman" w:hAnsi="Times New Roman"/>
        </w:rPr>
        <w:t xml:space="preserve">ợc giúp </w:t>
      </w:r>
      <w:r>
        <w:rPr>
          <w:rFonts w:ascii="Times New Roman" w:hAnsi="Times New Roman" w:hint="eastAsia"/>
        </w:rPr>
        <w:t>đ</w:t>
      </w:r>
      <w:r>
        <w:rPr>
          <w:rFonts w:ascii="Times New Roman" w:hAnsi="Times New Roman"/>
        </w:rPr>
        <w:t>ỡ, giới thiệu, t</w:t>
      </w:r>
      <w:r>
        <w:rPr>
          <w:rFonts w:ascii="Times New Roman" w:hAnsi="Times New Roman" w:hint="eastAsia"/>
        </w:rPr>
        <w:t>ư</w:t>
      </w:r>
      <w:r>
        <w:rPr>
          <w:rFonts w:ascii="Times New Roman" w:hAnsi="Times New Roman"/>
        </w:rPr>
        <w:t xml:space="preserve"> vấn việc làm, </w:t>
      </w:r>
      <w:r>
        <w:rPr>
          <w:rFonts w:ascii="Times New Roman" w:hAnsi="Times New Roman" w:hint="eastAsia"/>
        </w:rPr>
        <w:t>đà</w:t>
      </w:r>
      <w:r>
        <w:rPr>
          <w:rFonts w:ascii="Times New Roman" w:hAnsi="Times New Roman"/>
        </w:rPr>
        <w:t>o tạo nghề.</w:t>
      </w:r>
    </w:p>
  </w:footnote>
  <w:footnote w:id="4">
    <w:p>
      <w:pPr>
        <w:pStyle w:val="FootnoteText"/>
        <w:spacing w:before="60"/>
        <w:ind w:firstLine="720"/>
        <w:jc w:val="both"/>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vi-VN"/>
        </w:rPr>
        <w:t>Tổ chức</w:t>
      </w:r>
      <w:r>
        <w:rPr>
          <w:rFonts w:ascii="Times New Roman" w:hAnsi="Times New Roman"/>
        </w:rPr>
        <w:t xml:space="preserve"> 14 cuộc</w:t>
      </w:r>
      <w:r>
        <w:rPr>
          <w:rFonts w:ascii="Times New Roman" w:hAnsi="Times New Roman"/>
          <w:lang w:val="vi-VN"/>
        </w:rPr>
        <w:t xml:space="preserve"> tuyên truyền pháp luật </w:t>
      </w:r>
      <w:r>
        <w:rPr>
          <w:rFonts w:ascii="Times New Roman" w:hAnsi="Times New Roman"/>
        </w:rPr>
        <w:t>an toàn giao thông trực tiếp với h</w:t>
      </w:r>
      <w:r>
        <w:rPr>
          <w:rFonts w:ascii="Times New Roman" w:hAnsi="Times New Roman" w:hint="eastAsia"/>
        </w:rPr>
        <w:t>ơ</w:t>
      </w:r>
      <w:r>
        <w:rPr>
          <w:rFonts w:ascii="Times New Roman" w:hAnsi="Times New Roman"/>
        </w:rPr>
        <w:t>n 11.950 ng</w:t>
      </w:r>
      <w:r>
        <w:rPr>
          <w:rFonts w:ascii="Times New Roman" w:hAnsi="Times New Roman" w:hint="eastAsia"/>
        </w:rPr>
        <w:t>ư</w:t>
      </w:r>
      <w:r>
        <w:rPr>
          <w:rFonts w:ascii="Times New Roman" w:hAnsi="Times New Roman"/>
        </w:rPr>
        <w:t>ời tham gia; phối hợp với các c</w:t>
      </w:r>
      <w:r>
        <w:rPr>
          <w:rFonts w:ascii="Times New Roman" w:hAnsi="Times New Roman" w:hint="eastAsia"/>
        </w:rPr>
        <w:t>ơ</w:t>
      </w:r>
      <w:r>
        <w:rPr>
          <w:rFonts w:ascii="Times New Roman" w:hAnsi="Times New Roman"/>
        </w:rPr>
        <w:t xml:space="preserve"> quan báo, </w:t>
      </w:r>
      <w:r>
        <w:rPr>
          <w:rFonts w:ascii="Times New Roman" w:hAnsi="Times New Roman" w:hint="eastAsia"/>
        </w:rPr>
        <w:t>đà</w:t>
      </w:r>
      <w:r>
        <w:rPr>
          <w:rFonts w:ascii="Times New Roman" w:hAnsi="Times New Roman"/>
        </w:rPr>
        <w:t>i và c</w:t>
      </w:r>
      <w:r>
        <w:rPr>
          <w:rFonts w:ascii="Times New Roman" w:hAnsi="Times New Roman" w:hint="eastAsia"/>
        </w:rPr>
        <w:t>ơ</w:t>
      </w:r>
      <w:r>
        <w:rPr>
          <w:rFonts w:ascii="Times New Roman" w:hAnsi="Times New Roman"/>
        </w:rPr>
        <w:t xml:space="preserve"> quan nghiệp vụ th</w:t>
      </w:r>
      <w:r>
        <w:rPr>
          <w:rFonts w:ascii="Times New Roman" w:hAnsi="Times New Roman" w:hint="eastAsia"/>
        </w:rPr>
        <w:t>ự</w:t>
      </w:r>
      <w:r>
        <w:rPr>
          <w:rFonts w:ascii="Times New Roman" w:hAnsi="Times New Roman"/>
        </w:rPr>
        <w:t>c hiện 94 tin bài, 32 phóng sự.</w:t>
      </w:r>
    </w:p>
  </w:footnote>
  <w:footnote w:id="5">
    <w:p>
      <w:pPr>
        <w:widowControl w:val="0"/>
        <w:spacing w:before="60"/>
        <w:ind w:firstLine="720"/>
        <w:jc w:val="both"/>
        <w:rPr>
          <w:rFonts w:asciiTheme="minorHAnsi" w:hAnsiTheme="minorHAnsi"/>
          <w:sz w:val="20"/>
          <w:szCs w:val="20"/>
          <w:lang w:val="vi-VN"/>
        </w:rPr>
      </w:pPr>
      <w:r>
        <w:rPr>
          <w:rStyle w:val="FootnoteReference"/>
          <w:rFonts w:ascii="Times New Roman" w:hAnsi="Times New Roman"/>
          <w:sz w:val="20"/>
          <w:szCs w:val="20"/>
        </w:rPr>
        <w:footnoteRef/>
      </w:r>
      <w:r>
        <w:rPr>
          <w:rFonts w:ascii="Times New Roman" w:hAnsi="Times New Roman"/>
          <w:sz w:val="20"/>
          <w:szCs w:val="20"/>
          <w:lang w:val="pt-BR"/>
        </w:rPr>
        <w:t xml:space="preserve"> Trong </w:t>
      </w:r>
      <w:r>
        <w:rPr>
          <w:rFonts w:ascii="Times New Roman" w:hAnsi="Times New Roman" w:hint="eastAsia"/>
          <w:sz w:val="20"/>
          <w:szCs w:val="20"/>
          <w:lang w:val="pt-BR"/>
        </w:rPr>
        <w:t>đó</w:t>
      </w:r>
      <w:r>
        <w:rPr>
          <w:rFonts w:ascii="Times New Roman" w:hAnsi="Times New Roman"/>
          <w:sz w:val="20"/>
          <w:szCs w:val="20"/>
          <w:lang w:val="pt-BR"/>
        </w:rPr>
        <w:t xml:space="preserve">: </w:t>
      </w:r>
      <w:r>
        <w:rPr>
          <w:sz w:val="20"/>
          <w:szCs w:val="20"/>
          <w:lang w:val="pt-BR"/>
        </w:rPr>
        <w:t xml:space="preserve">1.412 trường hợp vi phạm nồng độ cồn; 10 trường hợp dương tính ma túy; 93 trường hợp quá khổ, quá tải, tự ý hoán </w:t>
      </w:r>
      <w:r>
        <w:rPr>
          <w:rFonts w:asciiTheme="minorHAnsi" w:hAnsiTheme="minorHAnsi" w:cstheme="minorHAnsi"/>
          <w:sz w:val="20"/>
          <w:szCs w:val="20"/>
          <w:lang w:val="pt-BR"/>
        </w:rPr>
        <w:t>cải</w:t>
      </w:r>
      <w:r>
        <w:rPr>
          <w:rFonts w:asciiTheme="minorHAnsi" w:hAnsiTheme="minorHAnsi"/>
          <w:sz w:val="20"/>
          <w:szCs w:val="20"/>
          <w:lang w:val="vi-V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726340"/>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fldChar w:fldCharType="end"/>
        </w:r>
      </w:p>
    </w:sdtContent>
  </w:sdt>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510997"/>
      <w:docPartObj>
        <w:docPartGallery w:val="Page Numbers (Top of Page)"/>
        <w:docPartUnique/>
      </w:docPartObj>
    </w:sdtPr>
    <w:sdtEndPr>
      <w:rPr>
        <w:rFonts w:ascii="Times New Roman" w:hAnsi="Times New Roman"/>
        <w:noProof/>
      </w:rPr>
    </w:sdtEndPr>
    <w:sdtContent>
      <w:p>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noProof/>
          </w:rPr>
          <w:t>8</w:t>
        </w:r>
        <w:r>
          <w:rPr>
            <w:rFonts w:ascii="Times New Roman" w:hAnsi="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E3E3E"/>
    <w:multiLevelType w:val="hybridMultilevel"/>
    <w:tmpl w:val="DE90C7D8"/>
    <w:lvl w:ilvl="0" w:tplc="CB5636C0">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C3C5B21"/>
    <w:multiLevelType w:val="hybridMultilevel"/>
    <w:tmpl w:val="6C208E46"/>
    <w:lvl w:ilvl="0" w:tplc="4EBC0F1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3BA58B7"/>
    <w:multiLevelType w:val="hybridMultilevel"/>
    <w:tmpl w:val="F6C8F01E"/>
    <w:lvl w:ilvl="0" w:tplc="BB485C7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8F172BB"/>
    <w:multiLevelType w:val="hybridMultilevel"/>
    <w:tmpl w:val="F6605556"/>
    <w:lvl w:ilvl="0" w:tplc="3A9CEA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30DB0A9B"/>
    <w:multiLevelType w:val="hybridMultilevel"/>
    <w:tmpl w:val="40A20D8A"/>
    <w:lvl w:ilvl="0" w:tplc="55CCED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42763E"/>
    <w:multiLevelType w:val="hybridMultilevel"/>
    <w:tmpl w:val="F7B45DDE"/>
    <w:lvl w:ilvl="0" w:tplc="C9C63C7E">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0F65FED"/>
    <w:multiLevelType w:val="hybridMultilevel"/>
    <w:tmpl w:val="147635AA"/>
    <w:lvl w:ilvl="0" w:tplc="BACA80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FE1856"/>
    <w:multiLevelType w:val="hybridMultilevel"/>
    <w:tmpl w:val="2A9C23A6"/>
    <w:lvl w:ilvl="0" w:tplc="1D6E6D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2A0647"/>
    <w:multiLevelType w:val="hybridMultilevel"/>
    <w:tmpl w:val="9F38D5F6"/>
    <w:lvl w:ilvl="0" w:tplc="5C6E4F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445B06F6"/>
    <w:multiLevelType w:val="hybridMultilevel"/>
    <w:tmpl w:val="923C75D6"/>
    <w:lvl w:ilvl="0" w:tplc="C100A55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4A2E021E"/>
    <w:multiLevelType w:val="hybridMultilevel"/>
    <w:tmpl w:val="2D6284DA"/>
    <w:lvl w:ilvl="0" w:tplc="5EDEBFEA">
      <w:start w:val="1"/>
      <w:numFmt w:val="decimal"/>
      <w:lvlText w:val="%1."/>
      <w:lvlJc w:val="left"/>
      <w:pPr>
        <w:ind w:left="1699" w:hanging="99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50104299"/>
    <w:multiLevelType w:val="hybridMultilevel"/>
    <w:tmpl w:val="13727378"/>
    <w:lvl w:ilvl="0" w:tplc="6BA28C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3E3415"/>
    <w:multiLevelType w:val="hybridMultilevel"/>
    <w:tmpl w:val="C88EA4AC"/>
    <w:lvl w:ilvl="0" w:tplc="10E449B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3D07C0D"/>
    <w:multiLevelType w:val="hybridMultilevel"/>
    <w:tmpl w:val="47DE7DF6"/>
    <w:lvl w:ilvl="0" w:tplc="2D5A1C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660A47C7"/>
    <w:multiLevelType w:val="hybridMultilevel"/>
    <w:tmpl w:val="AD0060F4"/>
    <w:lvl w:ilvl="0" w:tplc="6FF0BF7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73BC52A0"/>
    <w:multiLevelType w:val="hybridMultilevel"/>
    <w:tmpl w:val="C65A0860"/>
    <w:lvl w:ilvl="0" w:tplc="A6BE5420">
      <w:start w:val="3"/>
      <w:numFmt w:val="bullet"/>
      <w:lvlText w:val="-"/>
      <w:lvlJc w:val="left"/>
      <w:pPr>
        <w:tabs>
          <w:tab w:val="num" w:pos="1155"/>
        </w:tabs>
        <w:ind w:left="1155" w:hanging="360"/>
      </w:pPr>
      <w:rPr>
        <w:rFonts w:ascii="Times New Roman" w:eastAsia="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6">
    <w:nsid w:val="747C0305"/>
    <w:multiLevelType w:val="hybridMultilevel"/>
    <w:tmpl w:val="3CCA5CE6"/>
    <w:lvl w:ilvl="0" w:tplc="182CD12C">
      <w:start w:val="5"/>
      <w:numFmt w:val="bullet"/>
      <w:lvlText w:val="-"/>
      <w:lvlJc w:val="left"/>
      <w:pPr>
        <w:ind w:left="1069" w:hanging="360"/>
      </w:pPr>
      <w:rPr>
        <w:rFonts w:ascii="Times New Roman" w:eastAsia="Times New Roman" w:hAnsi="Times New Roman" w:cs="Times New Roman" w:hint="default"/>
        <w:color w:val="auto"/>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nsid w:val="7B496B96"/>
    <w:multiLevelType w:val="hybridMultilevel"/>
    <w:tmpl w:val="C0CA9006"/>
    <w:lvl w:ilvl="0" w:tplc="8534AEE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5"/>
  </w:num>
  <w:num w:numId="2">
    <w:abstractNumId w:val="12"/>
  </w:num>
  <w:num w:numId="3">
    <w:abstractNumId w:val="17"/>
  </w:num>
  <w:num w:numId="4">
    <w:abstractNumId w:val="9"/>
  </w:num>
  <w:num w:numId="5">
    <w:abstractNumId w:val="10"/>
  </w:num>
  <w:num w:numId="6">
    <w:abstractNumId w:val="16"/>
  </w:num>
  <w:num w:numId="7">
    <w:abstractNumId w:val="14"/>
  </w:num>
  <w:num w:numId="8">
    <w:abstractNumId w:val="0"/>
  </w:num>
  <w:num w:numId="9">
    <w:abstractNumId w:val="3"/>
  </w:num>
  <w:num w:numId="10">
    <w:abstractNumId w:val="8"/>
  </w:num>
  <w:num w:numId="11">
    <w:abstractNumId w:val="6"/>
  </w:num>
  <w:num w:numId="12">
    <w:abstractNumId w:val="7"/>
  </w:num>
  <w:num w:numId="13">
    <w:abstractNumId w:val="2"/>
  </w:num>
  <w:num w:numId="14">
    <w:abstractNumId w:val="1"/>
  </w:num>
  <w:num w:numId="15">
    <w:abstractNumId w:val="13"/>
  </w:num>
  <w:num w:numId="16">
    <w:abstractNumId w:val="11"/>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1"/>
  <w:activeWritingStyle w:appName="MSWord" w:lang="en-US" w:vendorID="64" w:dllVersion="6" w:nlCheck="1" w:checkStyle="0"/>
  <w:activeWritingStyle w:appName="MSWord" w:lang="es-PE" w:vendorID="64" w:dllVersion="6" w:nlCheck="1" w:checkStyle="0"/>
  <w:revisionView w:inkAnnotation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VnTime" w:eastAsia="Times New Roman" w:hAnsi=".VnTime" w:cs="Times New Roman"/>
      <w:sz w:val="28"/>
      <w:szCs w:val="28"/>
    </w:rPr>
  </w:style>
  <w:style w:type="character" w:styleId="PageNumber">
    <w:name w:val="page number"/>
    <w:basedOn w:val="DefaultParagraphFont"/>
  </w:style>
  <w:style w:type="paragraph" w:styleId="BodyText">
    <w:name w:val="Body Text"/>
    <w:basedOn w:val="Normal"/>
    <w:link w:val="BodyTextChar"/>
    <w:pPr>
      <w:spacing w:before="120"/>
      <w:jc w:val="both"/>
    </w:pPr>
    <w:rPr>
      <w:color w:val="0000FF"/>
    </w:rPr>
  </w:style>
  <w:style w:type="character" w:customStyle="1" w:styleId="BodyTextChar">
    <w:name w:val="Body Text Char"/>
    <w:basedOn w:val="DefaultParagraphFont"/>
    <w:link w:val="BodyText"/>
    <w:rPr>
      <w:rFonts w:ascii=".VnTime" w:eastAsia="Times New Roman" w:hAnsi=".VnTime" w:cs="Times New Roman"/>
      <w:color w:val="0000FF"/>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VnTime" w:eastAsia="Times New Roman" w:hAnsi=".VnTime" w:cs="Times New Roman"/>
      <w:sz w:val="28"/>
      <w:szCs w:val="28"/>
    </w:rPr>
  </w:style>
  <w:style w:type="paragraph" w:customStyle="1" w:styleId="Char">
    <w:name w:val="Char"/>
    <w:basedOn w:val="Normal"/>
    <w:pPr>
      <w:spacing w:after="160" w:line="240" w:lineRule="exact"/>
    </w:pPr>
    <w:rPr>
      <w:rFonts w:ascii="Verdana" w:hAnsi="Verdana"/>
      <w:sz w:val="20"/>
      <w:szCs w:val="20"/>
    </w:rPr>
  </w:style>
  <w:style w:type="paragraph" w:customStyle="1" w:styleId="phead">
    <w:name w:val="phead"/>
    <w:basedOn w:val="Normal"/>
    <w:pPr>
      <w:spacing w:before="100" w:beforeAutospacing="1" w:after="100" w:afterAutospacing="1"/>
    </w:pPr>
    <w:rPr>
      <w:rFonts w:ascii="Arial" w:hAnsi="Arial" w:cs="Arial"/>
      <w:b/>
      <w:bCs/>
      <w:color w:val="3F3F3F"/>
      <w:sz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Times New Roman" w:hAnsi="Tahoma" w:cs="Tahoma"/>
      <w:sz w:val="16"/>
      <w:szCs w:val="16"/>
    </w:rPr>
  </w:style>
  <w:style w:type="character" w:styleId="IntenseEmphasis">
    <w:name w:val="Intense Emphasis"/>
    <w:uiPriority w:val="21"/>
    <w:qFormat/>
    <w:rPr>
      <w:b/>
      <w:bCs/>
      <w:i/>
      <w:iCs/>
      <w:color w:val="4F81BD"/>
    </w:rPr>
  </w:style>
  <w:style w:type="character" w:customStyle="1" w:styleId="BodytextChar0">
    <w:name w:val="Body text_ Char"/>
    <w:link w:val="Bodytext0"/>
    <w:rPr>
      <w:sz w:val="26"/>
      <w:szCs w:val="26"/>
      <w:shd w:val="clear" w:color="auto" w:fill="FFFFFF"/>
    </w:rPr>
  </w:style>
  <w:style w:type="paragraph" w:customStyle="1" w:styleId="Bodytext0">
    <w:name w:val="Body text_"/>
    <w:basedOn w:val="Normal"/>
    <w:link w:val="BodytextChar0"/>
    <w:pPr>
      <w:widowControl w:val="0"/>
      <w:shd w:val="clear" w:color="auto" w:fill="FFFFFF"/>
      <w:spacing w:before="300" w:after="120" w:line="490" w:lineRule="exact"/>
      <w:jc w:val="both"/>
    </w:pPr>
    <w:rPr>
      <w:rFonts w:asciiTheme="minorHAnsi" w:eastAsiaTheme="minorHAnsi" w:hAnsiTheme="minorHAnsi" w:cstheme="minorBidi"/>
      <w:sz w:val="26"/>
      <w:szCs w:val="26"/>
    </w:rPr>
  </w:style>
  <w:style w:type="paragraph" w:customStyle="1" w:styleId="Bodytext1">
    <w:name w:val="Body text1"/>
    <w:basedOn w:val="Normal"/>
    <w:pPr>
      <w:widowControl w:val="0"/>
      <w:shd w:val="clear" w:color="auto" w:fill="FFFFFF"/>
      <w:spacing w:line="300" w:lineRule="exact"/>
      <w:ind w:hanging="980"/>
      <w:jc w:val="both"/>
    </w:pPr>
    <w:rPr>
      <w:rFonts w:ascii="Times New Roman" w:hAnsi="Times New Roman"/>
      <w:sz w:val="26"/>
      <w:szCs w:val="26"/>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rPr>
      <w:rFonts w:ascii=".VnTime" w:eastAsia="Times New Roman" w:hAnsi=".VnTime" w:cs="Times New Roman"/>
      <w:sz w:val="20"/>
      <w:szCs w:val="20"/>
    </w:rPr>
  </w:style>
  <w:style w:type="character" w:styleId="EndnoteReference">
    <w:name w:val="endnote reference"/>
    <w:rPr>
      <w:vertAlign w:val="superscript"/>
    </w:rPr>
  </w:style>
  <w:style w:type="paragraph" w:styleId="FootnoteText">
    <w:name w:val="footnote text"/>
    <w:aliases w:val="Char4,Footnote Text Char Char Char Char Char,Footnote Text Char Char Char Char Char Char Ch Char Char Char,Footnote Text Char Char Char Char Char Char Ch Char Char Char Char Char Char C Char Char Char Char Char,ft,(NECG) Footnote Te, Char4"/>
    <w:basedOn w:val="Normal"/>
    <w:link w:val="FootnoteTextChar"/>
    <w:uiPriority w:val="99"/>
    <w:qFormat/>
    <w:rPr>
      <w:sz w:val="20"/>
      <w:szCs w:val="20"/>
    </w:rPr>
  </w:style>
  <w:style w:type="character" w:customStyle="1" w:styleId="FootnoteTextChar">
    <w:name w:val="Footnote Text Char"/>
    <w:aliases w:val="Char4 Char,Footnote Text Char Char Char Char Char Char,Footnote Text Char Char Char Char Char Char Ch Char Char Char Char,Footnote Text Char Char Char Char Char Char Ch Char Char Char Char Char Char C Char Char Char Char Char Char"/>
    <w:basedOn w:val="DefaultParagraphFont"/>
    <w:link w:val="FootnoteText"/>
    <w:uiPriority w:val="99"/>
    <w:qFormat/>
    <w:rPr>
      <w:rFonts w:ascii=".VnTime" w:eastAsia="Times New Roman" w:hAnsi=".VnTime" w:cs="Times New Roman"/>
      <w:sz w:val="20"/>
      <w:szCs w:val="20"/>
    </w:rPr>
  </w:style>
  <w:style w:type="character" w:styleId="FootnoteReference">
    <w:name w:val="footnote reference"/>
    <w:aliases w:val="ftref,Footnote,fr,16 Point,Superscript 6 Point,Footnote text,BearingPoint,Footnote Text1,Ref,de nota al pie,Footnote + Arial,10 pt,Black,Footnote Text11,Footnote Text Char Char Char Char Char Char Ch Char Char Char Char Char Char C,f"/>
    <w:link w:val="CharChar1CharCharCharChar1CharCharCharCharCharCharCharChar"/>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spacing w:after="160" w:line="240" w:lineRule="exact"/>
    </w:pPr>
    <w:rPr>
      <w:rFonts w:asciiTheme="minorHAnsi" w:eastAsiaTheme="minorHAnsi" w:hAnsiTheme="minorHAnsi" w:cstheme="minorBidi"/>
      <w:sz w:val="22"/>
      <w:szCs w:val="22"/>
      <w:vertAlign w:val="superscript"/>
    </w:rPr>
  </w:style>
  <w:style w:type="paragraph" w:styleId="NormalWeb">
    <w:name w:val="Normal (Web)"/>
    <w:basedOn w:val="Normal"/>
    <w:uiPriority w:val="99"/>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character" w:customStyle="1" w:styleId="Bodytext2">
    <w:name w:val="Body text (2)_"/>
    <w:link w:val="Bodytext20"/>
    <w:rPr>
      <w:sz w:val="26"/>
      <w:szCs w:val="26"/>
      <w:shd w:val="clear" w:color="auto" w:fill="FFFFFF"/>
    </w:rPr>
  </w:style>
  <w:style w:type="paragraph" w:customStyle="1" w:styleId="Bodytext20">
    <w:name w:val="Body text (2)"/>
    <w:basedOn w:val="Normal"/>
    <w:link w:val="Bodytext2"/>
    <w:pPr>
      <w:widowControl w:val="0"/>
      <w:shd w:val="clear" w:color="auto" w:fill="FFFFFF"/>
      <w:spacing w:after="60" w:line="331" w:lineRule="exact"/>
      <w:ind w:hanging="320"/>
      <w:jc w:val="both"/>
    </w:pPr>
    <w:rPr>
      <w:rFonts w:asciiTheme="minorHAnsi" w:eastAsiaTheme="minorHAnsi" w:hAnsiTheme="minorHAnsi" w:cstheme="minorBidi"/>
      <w:sz w:val="26"/>
      <w:szCs w:val="26"/>
    </w:rPr>
  </w:style>
  <w:style w:type="character" w:customStyle="1" w:styleId="Bodytext295pt">
    <w:name w:val="Body text (2) + 9.5 p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paragraph" w:styleId="ListParagraph">
    <w:name w:val="List Paragraph"/>
    <w:basedOn w:val="Normal"/>
    <w:uiPriority w:val="34"/>
    <w:qFormat/>
    <w:pPr>
      <w:ind w:left="720"/>
      <w:contextualSpacing/>
    </w:pPr>
  </w:style>
  <w:style w:type="character" w:styleId="Emphasis">
    <w:name w:val="Emphasis"/>
    <w:basedOn w:val="DefaultParagraphFont"/>
    <w:qFormat/>
    <w:rPr>
      <w:i/>
      <w:iCs/>
    </w:rPr>
  </w:style>
  <w:style w:type="paragraph" w:styleId="NoSpacing">
    <w:name w:val="No Spacing"/>
    <w:uiPriority w:val="1"/>
    <w:qFormat/>
    <w:pPr>
      <w:spacing w:after="0" w:line="240" w:lineRule="auto"/>
    </w:pPr>
    <w:rPr>
      <w:rFonts w:ascii="Times New Roman" w:eastAsia="Times New Roman" w:hAnsi="Times New Roman" w:cs="Times New Roman"/>
      <w:sz w:val="28"/>
      <w:szCs w:val="28"/>
    </w:rPr>
  </w:style>
  <w:style w:type="table" w:customStyle="1" w:styleId="TableGrid1">
    <w:name w:val="Table Grid1"/>
    <w:basedOn w:val="TableNormal"/>
    <w:next w:val="TableGrid"/>
    <w:uiPriority w:val="39"/>
    <w:pPr>
      <w:spacing w:after="0" w:line="240" w:lineRule="auto"/>
      <w:ind w:firstLine="680"/>
      <w:jc w:val="both"/>
    </w:pPr>
    <w:rPr>
      <w:rFonts w:ascii="Times New Roman" w:hAnsi="Times New Roman"/>
      <w:kern w:val="2"/>
      <w:sz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VnTime" w:eastAsia="Times New Roman" w:hAnsi=".VnTime" w:cs="Times New Roman"/>
      <w:sz w:val="28"/>
      <w:szCs w:val="28"/>
    </w:rPr>
  </w:style>
  <w:style w:type="character" w:styleId="PageNumber">
    <w:name w:val="page number"/>
    <w:basedOn w:val="DefaultParagraphFont"/>
  </w:style>
  <w:style w:type="paragraph" w:styleId="BodyText">
    <w:name w:val="Body Text"/>
    <w:basedOn w:val="Normal"/>
    <w:link w:val="BodyTextChar"/>
    <w:pPr>
      <w:spacing w:before="120"/>
      <w:jc w:val="both"/>
    </w:pPr>
    <w:rPr>
      <w:color w:val="0000FF"/>
    </w:rPr>
  </w:style>
  <w:style w:type="character" w:customStyle="1" w:styleId="BodyTextChar">
    <w:name w:val="Body Text Char"/>
    <w:basedOn w:val="DefaultParagraphFont"/>
    <w:link w:val="BodyText"/>
    <w:rPr>
      <w:rFonts w:ascii=".VnTime" w:eastAsia="Times New Roman" w:hAnsi=".VnTime" w:cs="Times New Roman"/>
      <w:color w:val="0000FF"/>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VnTime" w:eastAsia="Times New Roman" w:hAnsi=".VnTime" w:cs="Times New Roman"/>
      <w:sz w:val="28"/>
      <w:szCs w:val="28"/>
    </w:rPr>
  </w:style>
  <w:style w:type="paragraph" w:customStyle="1" w:styleId="Char">
    <w:name w:val="Char"/>
    <w:basedOn w:val="Normal"/>
    <w:pPr>
      <w:spacing w:after="160" w:line="240" w:lineRule="exact"/>
    </w:pPr>
    <w:rPr>
      <w:rFonts w:ascii="Verdana" w:hAnsi="Verdana"/>
      <w:sz w:val="20"/>
      <w:szCs w:val="20"/>
    </w:rPr>
  </w:style>
  <w:style w:type="paragraph" w:customStyle="1" w:styleId="phead">
    <w:name w:val="phead"/>
    <w:basedOn w:val="Normal"/>
    <w:pPr>
      <w:spacing w:before="100" w:beforeAutospacing="1" w:after="100" w:afterAutospacing="1"/>
    </w:pPr>
    <w:rPr>
      <w:rFonts w:ascii="Arial" w:hAnsi="Arial" w:cs="Arial"/>
      <w:b/>
      <w:bCs/>
      <w:color w:val="3F3F3F"/>
      <w:sz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Times New Roman" w:hAnsi="Tahoma" w:cs="Tahoma"/>
      <w:sz w:val="16"/>
      <w:szCs w:val="16"/>
    </w:rPr>
  </w:style>
  <w:style w:type="character" w:styleId="IntenseEmphasis">
    <w:name w:val="Intense Emphasis"/>
    <w:uiPriority w:val="21"/>
    <w:qFormat/>
    <w:rPr>
      <w:b/>
      <w:bCs/>
      <w:i/>
      <w:iCs/>
      <w:color w:val="4F81BD"/>
    </w:rPr>
  </w:style>
  <w:style w:type="character" w:customStyle="1" w:styleId="BodytextChar0">
    <w:name w:val="Body text_ Char"/>
    <w:link w:val="Bodytext0"/>
    <w:rPr>
      <w:sz w:val="26"/>
      <w:szCs w:val="26"/>
      <w:shd w:val="clear" w:color="auto" w:fill="FFFFFF"/>
    </w:rPr>
  </w:style>
  <w:style w:type="paragraph" w:customStyle="1" w:styleId="Bodytext0">
    <w:name w:val="Body text_"/>
    <w:basedOn w:val="Normal"/>
    <w:link w:val="BodytextChar0"/>
    <w:pPr>
      <w:widowControl w:val="0"/>
      <w:shd w:val="clear" w:color="auto" w:fill="FFFFFF"/>
      <w:spacing w:before="300" w:after="120" w:line="490" w:lineRule="exact"/>
      <w:jc w:val="both"/>
    </w:pPr>
    <w:rPr>
      <w:rFonts w:asciiTheme="minorHAnsi" w:eastAsiaTheme="minorHAnsi" w:hAnsiTheme="minorHAnsi" w:cstheme="minorBidi"/>
      <w:sz w:val="26"/>
      <w:szCs w:val="26"/>
    </w:rPr>
  </w:style>
  <w:style w:type="paragraph" w:customStyle="1" w:styleId="Bodytext1">
    <w:name w:val="Body text1"/>
    <w:basedOn w:val="Normal"/>
    <w:pPr>
      <w:widowControl w:val="0"/>
      <w:shd w:val="clear" w:color="auto" w:fill="FFFFFF"/>
      <w:spacing w:line="300" w:lineRule="exact"/>
      <w:ind w:hanging="980"/>
      <w:jc w:val="both"/>
    </w:pPr>
    <w:rPr>
      <w:rFonts w:ascii="Times New Roman" w:hAnsi="Times New Roman"/>
      <w:sz w:val="26"/>
      <w:szCs w:val="26"/>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rPr>
      <w:rFonts w:ascii=".VnTime" w:eastAsia="Times New Roman" w:hAnsi=".VnTime" w:cs="Times New Roman"/>
      <w:sz w:val="20"/>
      <w:szCs w:val="20"/>
    </w:rPr>
  </w:style>
  <w:style w:type="character" w:styleId="EndnoteReference">
    <w:name w:val="endnote reference"/>
    <w:rPr>
      <w:vertAlign w:val="superscript"/>
    </w:rPr>
  </w:style>
  <w:style w:type="paragraph" w:styleId="FootnoteText">
    <w:name w:val="footnote text"/>
    <w:aliases w:val="Char4,Footnote Text Char Char Char Char Char,Footnote Text Char Char Char Char Char Char Ch Char Char Char,Footnote Text Char Char Char Char Char Char Ch Char Char Char Char Char Char C Char Char Char Char Char,ft,(NECG) Footnote Te, Char4"/>
    <w:basedOn w:val="Normal"/>
    <w:link w:val="FootnoteTextChar"/>
    <w:uiPriority w:val="99"/>
    <w:qFormat/>
    <w:rPr>
      <w:sz w:val="20"/>
      <w:szCs w:val="20"/>
    </w:rPr>
  </w:style>
  <w:style w:type="character" w:customStyle="1" w:styleId="FootnoteTextChar">
    <w:name w:val="Footnote Text Char"/>
    <w:aliases w:val="Char4 Char,Footnote Text Char Char Char Char Char Char,Footnote Text Char Char Char Char Char Char Ch Char Char Char Char,Footnote Text Char Char Char Char Char Char Ch Char Char Char Char Char Char C Char Char Char Char Char Char"/>
    <w:basedOn w:val="DefaultParagraphFont"/>
    <w:link w:val="FootnoteText"/>
    <w:uiPriority w:val="99"/>
    <w:qFormat/>
    <w:rPr>
      <w:rFonts w:ascii=".VnTime" w:eastAsia="Times New Roman" w:hAnsi=".VnTime" w:cs="Times New Roman"/>
      <w:sz w:val="20"/>
      <w:szCs w:val="20"/>
    </w:rPr>
  </w:style>
  <w:style w:type="character" w:styleId="FootnoteReference">
    <w:name w:val="footnote reference"/>
    <w:aliases w:val="ftref,Footnote,fr,16 Point,Superscript 6 Point,Footnote text,BearingPoint,Footnote Text1,Ref,de nota al pie,Footnote + Arial,10 pt,Black,Footnote Text11,Footnote Text Char Char Char Char Char Char Ch Char Char Char Char Char Char C,f"/>
    <w:link w:val="CharChar1CharCharCharChar1CharCharCharCharCharCharCharChar"/>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spacing w:after="160" w:line="240" w:lineRule="exact"/>
    </w:pPr>
    <w:rPr>
      <w:rFonts w:asciiTheme="minorHAnsi" w:eastAsiaTheme="minorHAnsi" w:hAnsiTheme="minorHAnsi" w:cstheme="minorBidi"/>
      <w:sz w:val="22"/>
      <w:szCs w:val="22"/>
      <w:vertAlign w:val="superscript"/>
    </w:rPr>
  </w:style>
  <w:style w:type="paragraph" w:styleId="NormalWeb">
    <w:name w:val="Normal (Web)"/>
    <w:basedOn w:val="Normal"/>
    <w:uiPriority w:val="99"/>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character" w:customStyle="1" w:styleId="Bodytext2">
    <w:name w:val="Body text (2)_"/>
    <w:link w:val="Bodytext20"/>
    <w:rPr>
      <w:sz w:val="26"/>
      <w:szCs w:val="26"/>
      <w:shd w:val="clear" w:color="auto" w:fill="FFFFFF"/>
    </w:rPr>
  </w:style>
  <w:style w:type="paragraph" w:customStyle="1" w:styleId="Bodytext20">
    <w:name w:val="Body text (2)"/>
    <w:basedOn w:val="Normal"/>
    <w:link w:val="Bodytext2"/>
    <w:pPr>
      <w:widowControl w:val="0"/>
      <w:shd w:val="clear" w:color="auto" w:fill="FFFFFF"/>
      <w:spacing w:after="60" w:line="331" w:lineRule="exact"/>
      <w:ind w:hanging="320"/>
      <w:jc w:val="both"/>
    </w:pPr>
    <w:rPr>
      <w:rFonts w:asciiTheme="minorHAnsi" w:eastAsiaTheme="minorHAnsi" w:hAnsiTheme="minorHAnsi" w:cstheme="minorBidi"/>
      <w:sz w:val="26"/>
      <w:szCs w:val="26"/>
    </w:rPr>
  </w:style>
  <w:style w:type="character" w:customStyle="1" w:styleId="Bodytext295pt">
    <w:name w:val="Body text (2) + 9.5 p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paragraph" w:styleId="ListParagraph">
    <w:name w:val="List Paragraph"/>
    <w:basedOn w:val="Normal"/>
    <w:uiPriority w:val="34"/>
    <w:qFormat/>
    <w:pPr>
      <w:ind w:left="720"/>
      <w:contextualSpacing/>
    </w:pPr>
  </w:style>
  <w:style w:type="character" w:styleId="Emphasis">
    <w:name w:val="Emphasis"/>
    <w:basedOn w:val="DefaultParagraphFont"/>
    <w:qFormat/>
    <w:rPr>
      <w:i/>
      <w:iCs/>
    </w:rPr>
  </w:style>
  <w:style w:type="paragraph" w:styleId="NoSpacing">
    <w:name w:val="No Spacing"/>
    <w:uiPriority w:val="1"/>
    <w:qFormat/>
    <w:pPr>
      <w:spacing w:after="0" w:line="240" w:lineRule="auto"/>
    </w:pPr>
    <w:rPr>
      <w:rFonts w:ascii="Times New Roman" w:eastAsia="Times New Roman" w:hAnsi="Times New Roman" w:cs="Times New Roman"/>
      <w:sz w:val="28"/>
      <w:szCs w:val="28"/>
    </w:rPr>
  </w:style>
  <w:style w:type="table" w:customStyle="1" w:styleId="TableGrid1">
    <w:name w:val="Table Grid1"/>
    <w:basedOn w:val="TableNormal"/>
    <w:next w:val="TableGrid"/>
    <w:uiPriority w:val="39"/>
    <w:pPr>
      <w:spacing w:after="0" w:line="240" w:lineRule="auto"/>
      <w:ind w:firstLine="680"/>
      <w:jc w:val="both"/>
    </w:pPr>
    <w:rPr>
      <w:rFonts w:ascii="Times New Roman" w:hAnsi="Times New Roman"/>
      <w:kern w:val="2"/>
      <w:sz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55126">
      <w:bodyDiv w:val="1"/>
      <w:marLeft w:val="0"/>
      <w:marRight w:val="0"/>
      <w:marTop w:val="0"/>
      <w:marBottom w:val="0"/>
      <w:divBdr>
        <w:top w:val="none" w:sz="0" w:space="0" w:color="auto"/>
        <w:left w:val="none" w:sz="0" w:space="0" w:color="auto"/>
        <w:bottom w:val="none" w:sz="0" w:space="0" w:color="auto"/>
        <w:right w:val="none" w:sz="0" w:space="0" w:color="auto"/>
      </w:divBdr>
    </w:div>
    <w:div w:id="134409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4BB6A-0B70-4E4A-95FE-9420ED067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3460</Words>
  <Characters>19725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hocsinh</dc:creator>
  <cp:lastModifiedBy>Windows User</cp:lastModifiedBy>
  <cp:revision>7</cp:revision>
  <cp:lastPrinted>2025-06-25T00:34:00Z</cp:lastPrinted>
  <dcterms:created xsi:type="dcterms:W3CDTF">2025-06-24T08:14:00Z</dcterms:created>
  <dcterms:modified xsi:type="dcterms:W3CDTF">2025-06-25T11:17:00Z</dcterms:modified>
</cp:coreProperties>
</file>